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87R1002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Anchia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financing of certain sports and community venue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334.008(c),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To the extent that a provision of this chapter, including </w:t>
      </w:r>
      <w:r>
        <w:rPr>
          <w:u w:val="single"/>
        </w:rPr>
        <w:t xml:space="preserve">Section</w:t>
      </w:r>
      <w:r>
        <w:t xml:space="preserve"> [</w:t>
      </w:r>
      <w:r>
        <w:rPr>
          <w:strike/>
        </w:rPr>
        <w:t xml:space="preserve">Sections</w:t>
      </w:r>
      <w:r>
        <w:t xml:space="preserve">] 334.024(f), [</w:t>
      </w:r>
      <w:r>
        <w:rPr>
          <w:strike/>
        </w:rPr>
        <w:t xml:space="preserve">334.1015, and 334.2515,</w:t>
      </w:r>
      <w:r>
        <w:t xml:space="preserve">] applies to a venue project that is a municipal parks and recreation system or facility, </w:t>
      </w:r>
      <w:r>
        <w:rPr>
          <w:u w:val="single"/>
        </w:rPr>
        <w:t xml:space="preserve">the provision applies</w:t>
      </w:r>
      <w:r>
        <w:t xml:space="preserve"> [</w:t>
      </w:r>
      <w:r>
        <w:rPr>
          <w:strike/>
        </w:rPr>
        <w:t xml:space="preserve">those provisions apply</w:t>
      </w:r>
      <w:r>
        <w:t xml:space="preserve">] to a venue project authorized by this section, and references to a municipality are considered references to a county to which this section applies.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334.2515,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334.2515.</w:t>
      </w:r>
      <w:r xml:space="preserve">
        <w:t> </w:t>
      </w:r>
      <w:r xml:space="preserve">
        <w:t> </w:t>
      </w:r>
      <w:r>
        <w:t xml:space="preserve">APPLICATION.  Except as provided by Section 334.2516, this subchapter does not apply to the financing of a venue project that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area described by Section 334.001(4)(C);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an area or facility that is part of a municipal parks and recreation system as described by Section 334.001(4)(D);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>
        <w:t xml:space="preserve">] a project described by Section 334.001(4)(E), except for a project described by Section 334.001(4)(A);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a facility described by Section 334.001(4)(G).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334.1015, Local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