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87R4895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H.B.</w:t>
      </w:r>
      <w:r xml:space="preserve">
        <w:t> </w:t>
      </w:r>
      <w:r>
        <w:t xml:space="preserve">No.</w:t>
      </w:r>
      <w:r xml:space="preserve">
        <w:t> </w:t>
      </w:r>
      <w:r>
        <w:t xml:space="preserve">1055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of health care professionals at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33, Education Code, is amended by adding Section 33.910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33.910.</w:t>
      </w:r>
      <w:r>
        <w:rPr>
          <w:u w:val="single"/>
        </w:rPr>
        <w:t xml:space="preserve"> </w:t>
      </w:r>
      <w:r>
        <w:rPr>
          <w:u w:val="single"/>
        </w:rPr>
        <w:t xml:space="preserve"> </w:t>
      </w:r>
      <w:r>
        <w:rPr>
          <w:u w:val="single"/>
        </w:rPr>
        <w:t xml:space="preserve">EMPLOYMENT OF HEALTH CARE PROFESSIONALS.  A school district or open-enrollment charter school shall assign at least one registered nurse or other health care professional licensed under Title 3, Occupations Code, to be present at each campus of the district or school for not less than half of each school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