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87R16445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1059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1059:</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1059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seller's disclosure of the location of certain real property in a floodplain.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 Property Code, is amended by adding Section 5.020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w:t>
      </w:r>
      <w:r>
        <w:rPr>
          <w:u w:val="single"/>
        </w:rPr>
        <w:t xml:space="preserve"> </w:t>
      </w:r>
      <w:r>
        <w:rPr>
          <w:u w:val="single"/>
        </w:rPr>
        <w:t xml:space="preserve"> </w:t>
      </w:r>
      <w:r>
        <w:rPr>
          <w:u w:val="single"/>
        </w:rPr>
        <w:t xml:space="preserve">SELLER'S DISCLOSURE OF LOCATION OF CERTAIN REAL PROPERTY IN FLOODPLAIN.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"100-year floodplain" means any area of land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identified on the flood insurance rate map as a special flood hazard area, which is designated as Zone A, V, A99, AE, AO, AH, VE, or AR on the map;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one percent annual chance of flooding;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include a regulatory floodway, flood pool, or reservoir.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"Flood insurance rate map" means the most recent flood hazard map published by the Federal Emergency Management Agency under the National Flood Insurance Act of 1968 (42 U.S.C. Section 4001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seller of a tract of real property that measures less than 15 acres and that does not have a residence located or being constructed on the property at the time of the sale shall provide to the purchaser of the property a written notice disclosing whether any part of the property is located in a 100-year floodplain. </w:t>
      </w:r>
      <w:r>
        <w:rPr>
          <w:u w:val="single"/>
        </w:rPr>
        <w:t xml:space="preserve"> </w:t>
      </w:r>
      <w:r>
        <w:rPr>
          <w:u w:val="single"/>
        </w:rPr>
        <w:t xml:space="preserve">If any part of the property is located in a 100-year floodplain, the notice must include a copy of a current flood insurance rate map that indicates the part of the property that is located in the floodplain.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must be delivered by the seller on or before the effective date of an executory contract binding the purchaser to purchase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purchaser is entitled to recover from the seller damages caused by flooding on any part of the purchased real property that is located in a 100-year floodplain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seller fails to provide the purchaser the notice required by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flooding occurs before the fifth anniversary of the date of the purchase.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