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1068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13,</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1068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personal leave during school holidays by certain school district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employee with available personal leave under this section is entitled to use the leave for compensation for a day designated as a school holiday for which the employee would otherwise not receive compensation.  An employee may not use more than the number of personal leave days provided to the employee per year under this section or by the school district for days designated as school holidays during that year.  This subsection applies only to a school district employee who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exempt from the overtime provisions of the federal Fair Labor Standards Act of 1938 (29 U.S.C. Section 201 et seq.);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employed on a salaried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