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Harris, Anderson, Toth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Perry)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1070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March</w:t>
      </w:r>
      <w:r xml:space="preserve">
        <w:t> </w:t>
      </w:r>
      <w:r>
        <w:t xml:space="preserve">25,</w:t>
      </w:r>
      <w:r xml:space="preserve">
        <w:t> </w:t>
      </w:r>
      <w:r>
        <w:t xml:space="preserve">2021; April</w:t>
      </w:r>
      <w:r xml:space="preserve">
        <w:t> </w:t>
      </w:r>
      <w:r>
        <w:t xml:space="preserve">8,</w:t>
      </w:r>
      <w:r xml:space="preserve">
        <w:t> </w:t>
      </w:r>
      <w:r>
        <w:t xml:space="preserve">2021, read first time and referred to Committee on Water, Agriculture &amp; Rural Affairs;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Powell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Taylor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performance of pest control work by persons who hold a commercial or noncommercial applicator license issued by the Department of Agriculture.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1951.053(a),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Sections 1951.212 and 1951.457(c), 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person who performs pest control work on growing plants, trees, shrubs, grass, or other horticultural plants if the person holds a commercial or noncommercial applicator license from the department and issued under Chapter 76, Agriculture Code, that covers the pest control work </w:t>
      </w:r>
      <w:r>
        <w:rPr>
          <w:u w:val="single"/>
        </w:rPr>
        <w:t xml:space="preserve">or is under the direct supervision of a person who holds a commercial or noncommercial applicator license from the department and issued under Chapter 76, Agriculture Code, that covers pest control work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person who performs pest control work on growing plants, trees, shrubs, grass, or other horticultural plants or rights-of-way if the person: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employed by a political subdivision or a cemetery;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engaged in pest control work or vegetation management for the political subdivision or cemetery;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holds a commercial or noncommercial applicator license from the department and issued under Chapter 76, Agriculture Code, that covers pest control work or is under the direct supervision of a person who holds a commercial or noncommercial applicator license from the department and issued under Chapter 76, Agriculture Code, that covers pest control work;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complies with annual continuing education required by the department.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