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87R3893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arrest for certain activities occurring at property leased to a person operating a massage establishment.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125.0017, Civil Practice and Remedies Code, as added by Chapter 1135 (H.B. 240), Acts of the 85th Legislature, Regular Session, 2017, is amended to read as follows:</w:t>
      </w:r>
    </w:p>
    <w:p w:rsidR="003F3435" w:rsidRDefault="0032493E">
      <w:pPr>
        <w:spacing w:line="480" w:lineRule="auto"/>
        <w:ind w:firstLine="720"/>
        <w:jc w:val="both"/>
      </w:pPr>
      <w:r>
        <w:t xml:space="preserve">Sec.</w:t>
      </w:r>
      <w:r xml:space="preserve">
        <w:t> </w:t>
      </w:r>
      <w:r>
        <w:t xml:space="preserve">125.0017.</w:t>
      </w:r>
      <w:r xml:space="preserve">
        <w:t> </w:t>
      </w:r>
      <w:r xml:space="preserve">
        <w:t> </w:t>
      </w:r>
      <w:r>
        <w:t xml:space="preserve">NOTICE OF ARREST FOR CERTAIN ACTIVITIES.  If a law enforcement agency makes an arrest related to an activity described by Section 125.0015(a)(6), (7), or (18) that occurs at property leased to a person operating a massage establishment as defined by Section 455.001, Occupations Code, not later than the 14th day after the date of the arrest, the law enforcement agency may provide written notice by certified mail to [</w:t>
      </w:r>
      <w:r>
        <w:rPr>
          <w:strike/>
        </w:rPr>
        <w:t xml:space="preserve">each person maintaining</w:t>
      </w:r>
      <w:r>
        <w:t xml:space="preserve">] the property </w:t>
      </w:r>
      <w:r>
        <w:rPr>
          <w:u w:val="single"/>
        </w:rPr>
        <w:t xml:space="preserve">owner</w:t>
      </w:r>
      <w:r>
        <w:t xml:space="preserve"> of the arrest.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125.0017, Civil Practice and Remedies Code, as added by Chapter 858 (H.B. 2552), Acts of the 85th Legislature, Regular Session, 2017,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arrest that occurs on or after the effective date of this Act. </w:t>
      </w:r>
      <w:r>
        <w:t xml:space="preserve"> </w:t>
      </w:r>
      <w:r>
        <w:t xml:space="preserve">An arrest that occurred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