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87R5427 GCB-D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Patterson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for participation in University Interscholastic League activities of certain public school students who receive outpatient mental health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33, Education Code, is amended by adding Section 33.0832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33.0832.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PARTICIPATION IN UNIVERSITY INTERSCHOLASTIC LEAGUE ACTIVITIES BY STUDENTS RECEIVING OUTPATIENT MENTAL HEALTH SERVICES.  (a)  This section applies to a student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receives outpatient mental health services from a mental health facility, as defined by Section 571.003, Health and Safety Code;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enrolled in a school district or open-enrollment charter school or otherwise receives public education services from a district or school.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University Interscholastic League shall ensure that league rules do not exclude from eligibility for participation in a league activity a student to whom this section applies.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or open-enrollment charter school may not adopt or enforce policies that restrict participation in University Interscholastic League activities by a student to whom this section applies.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 shall adopt rules ensuring that a student to whom this section applies has reasonable opportunities to participate in University Interscholastic League activities.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As soon as practicable after the effective date of this Act: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University Interscholastic League shall propose or amend rules as necessary to comply with Section 33.0832, Education Code, as added by this Act;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school district or open-enrollment charter school shall propose or amend policies as necessary to comply with Section 33.0832, Education Code, as added by this Act;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commissioner of education shall approve any rules proposed under Section 33.0832(b), Education Code, as added by this Act, and adopt all necessary rules under Subsection (d) of that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