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1080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6,</w:t>
      </w:r>
      <w:r xml:space="preserve">
        <w:t> </w:t>
      </w:r>
      <w:r>
        <w:t xml:space="preserve">2021, read first time and referred to Committee on Education; May</w:t>
      </w:r>
      <w:r xml:space="preserve">
        <w:t> </w:t>
      </w:r>
      <w:r>
        <w:t xml:space="preserve">14,</w:t>
      </w:r>
      <w:r xml:space="preserve">
        <w:t> </w:t>
      </w:r>
      <w:r>
        <w:t xml:space="preserve">2021, reported favorably by the following vote:</w:t>
      </w:r>
      <w:r>
        <w:t xml:space="preserve"> </w:t>
      </w:r>
      <w:r>
        <w:t xml:space="preserve"> </w:t>
      </w:r>
      <w:r>
        <w:t xml:space="preserve">Yeas 10, Nays 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for participation in University Interscholastic League activities of certain public school students who receive outpatient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PARTICIPATION IN UNIVERSITY INTERSCHOLASTIC LEAGUE ACTIVITIES BY STUDENTS RECEIVING OUTPATIENT MENTAL HEALTH SERVICES.  (a)  This section applies to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outpatient mental health services from a mental health facility, as defined by Section 571.003,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in a school district or open-enrollment charter school or otherwise receives public education services from a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Interscholastic League shall ensure that league rules do not exclude from eligibility for participation in a league activity a student to whom this section applies based solely on the criteria described in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adopt or enforce policies that restrict participation in University Interscholastic League activities by a student to whom this section applies based solely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described in Subsection (a)(1);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absence during instructional time while receiving outpatient mental health services as described by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exempt a student to whom this section applies from any eligibility requirement for participation in University Interscholastic League activities other than an eligibility requirement based solely on the criteria described in Subsection (a)(1).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University Interscholastic League shall propose or amend rules as necessary to comply with Section 33.0832, Education Code, as added by this Act; and</w:t>
      </w:r>
    </w:p>
    <w:p w:rsidR="003F3435" w:rsidRDefault="0032493E">
      <w:pPr>
        <w:spacing w:line="480" w:lineRule="auto"/>
        <w:ind w:firstLine="1440"/>
        <w:jc w:val="both"/>
      </w:pPr>
      <w:r>
        <w:t xml:space="preserve">(2)</w:t>
      </w:r>
      <w:r xml:space="preserve">
        <w:t> </w:t>
      </w:r>
      <w:r xml:space="preserve">
        <w:t> </w:t>
      </w:r>
      <w:r>
        <w:t xml:space="preserve">a school district or open-enrollment charter school shall propose or amend policies as necessary to comply with Section 33.0832,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