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87R5225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1087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acts for which a firefighter or police officer in certain municipalities may be subject to disciplinary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143.052(h), Local Government Code, is amended to read as follows:</w:t>
      </w:r>
    </w:p>
    <w:p w:rsidR="003F3435" w:rsidRDefault="0032493E">
      <w:pPr>
        <w:spacing w:line="480" w:lineRule="auto"/>
        <w:ind w:firstLine="720"/>
        <w:jc w:val="both"/>
      </w:pPr>
      <w:r>
        <w:t xml:space="preserve">(h)</w:t>
      </w:r>
      <w:r xml:space="preserve">
        <w:t> </w:t>
      </w:r>
      <w:r xml:space="preserve">
        <w:t> </w:t>
      </w:r>
      <w:r>
        <w:t xml:space="preserve">In the original written statement and charges and in any hearing conducted under this chapter, the department head may not complain of an act that [</w:t>
      </w:r>
      <w:r>
        <w:rPr>
          <w:strike/>
        </w:rPr>
        <w:t xml:space="preserve">occurred earlier than the 180th day preceding the date the department head suspends the fire fighter or police officer.  If the act is allegedly related to criminal activity including the violation of a federal, state, or local law for which the fire fighter or police officer is subject to a criminal penalty, the department head may not complain of an act that</w:t>
      </w:r>
      <w:r>
        <w:t xml:space="preserve">] is discovered earlier than the 180th day preceding the date the department head suspends the fire fighter or police officer.  [</w:t>
      </w:r>
      <w:r>
        <w:rPr>
          <w:strike/>
        </w:rPr>
        <w:t xml:space="preserve">The department head must allege that the act complained of is related to criminal activity.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disciplinary action for conduct that occurs on or after the effective date of this Act.  Conduct that occurs before the effective date of this Act is governed by the law in effect when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