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87R6125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persons to carry a handgun without a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Sections 46.02, 46.03(a)(1), (2), (3), (4), and (5), and 46.035(a), (a-1), (a-2), (a-3), (b)(1), (2), (4), and (5), and (c) do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prohibited under state or federal law from possessing a firearm;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18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protected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temporary restraining order or temporary injunction issued under Subchapter F, Chapter 6, Family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temporary ex parte order issued under Chapter 83,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protective order issued under Chapter 85, Family Code;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protective order issued Chapter 7B, Code of Criminal Procedure;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magistrate's order for emergency protection issued under Article 17.292,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household or family of a person protected under an order described by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participant in the address confidentiality program under Subchapter B, Chapter 58, Code of Criminal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handgun: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 concealed manner;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a shoulder or belt holster, unless the person is on a premises described by Section 46.035(a-1);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documentation of the order or program participation described by Subdivision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11.61(e),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or (i), the commission or administrator shall cancel an original or renewal permit if it is found, after notice and hearing, that the permittee knowingly allowed a person to possess a firearm in a building on the licensed premises. This subsection does not apply to a person:</w:t>
      </w:r>
    </w:p>
    <w:p w:rsidR="003F3435" w:rsidRDefault="0032493E">
      <w:pPr>
        <w:spacing w:line="480" w:lineRule="auto"/>
        <w:ind w:firstLine="1440"/>
        <w:jc w:val="both"/>
      </w:pPr>
      <w:r>
        <w:t xml:space="preserve">(1)</w:t>
      </w:r>
      <w:r xml:space="preserve">
        <w:t> </w:t>
      </w:r>
      <w:r xml:space="preserve">
        <w:t> </w:t>
      </w:r>
      <w:r>
        <w:t xml:space="preserve">who holds a security officer commission issued under Chapter 1702, Occupations Code, if:</w:t>
      </w:r>
    </w:p>
    <w:p w:rsidR="003F3435" w:rsidRDefault="0032493E">
      <w:pPr>
        <w:spacing w:line="480" w:lineRule="auto"/>
        <w:ind w:firstLine="2160"/>
        <w:jc w:val="both"/>
      </w:pPr>
      <w:r>
        <w:t xml:space="preserve">(A)</w:t>
      </w:r>
      <w:r xml:space="preserve">
        <w:t> </w:t>
      </w:r>
      <w:r xml:space="preserve">
        <w:t> </w:t>
      </w:r>
      <w:r>
        <w:t xml:space="preserve">the person is engaged in the performance of the person's duties as a security officer;</w:t>
      </w:r>
    </w:p>
    <w:p w:rsidR="003F3435" w:rsidRDefault="0032493E">
      <w:pPr>
        <w:spacing w:line="480" w:lineRule="auto"/>
        <w:ind w:firstLine="2160"/>
        <w:jc w:val="both"/>
      </w:pPr>
      <w:r>
        <w:t xml:space="preserve">(B)</w:t>
      </w:r>
      <w:r xml:space="preserve">
        <w:t> </w:t>
      </w:r>
      <w:r xml:space="preserve">
        <w:t> </w:t>
      </w:r>
      <w:r>
        <w:t xml:space="preserve">the person is wearing a distinctive uniform; and</w:t>
      </w:r>
    </w:p>
    <w:p w:rsidR="003F3435" w:rsidRDefault="0032493E">
      <w:pPr>
        <w:spacing w:line="480" w:lineRule="auto"/>
        <w:ind w:firstLine="2160"/>
        <w:jc w:val="both"/>
      </w:pPr>
      <w:r>
        <w:t xml:space="preserve">(C)</w:t>
      </w:r>
      <w:r xml:space="preserve">
        <w:t> </w:t>
      </w:r>
      <w:r xml:space="preserve">
        <w:t> </w:t>
      </w:r>
      <w:r>
        <w:t xml:space="preserve">the weapon is in plain view;</w:t>
      </w:r>
    </w:p>
    <w:p w:rsidR="003F3435" w:rsidRDefault="0032493E">
      <w:pPr>
        <w:spacing w:line="480" w:lineRule="auto"/>
        <w:ind w:firstLine="1440"/>
        <w:jc w:val="both"/>
      </w:pPr>
      <w:r>
        <w:t xml:space="preserve">(2)</w:t>
      </w:r>
      <w:r xml:space="preserve">
        <w:t> </w:t>
      </w:r>
      <w:r xml:space="preserve">
        <w:t> </w:t>
      </w:r>
      <w:r>
        <w:t xml:space="preserve">who is a peace officer;</w:t>
      </w:r>
    </w:p>
    <w:p w:rsidR="003F3435" w:rsidRDefault="0032493E">
      <w:pPr>
        <w:spacing w:line="480" w:lineRule="auto"/>
        <w:ind w:firstLine="1440"/>
        <w:jc w:val="both"/>
      </w:pPr>
      <w:r>
        <w:t xml:space="preserve">(3)</w:t>
      </w:r>
      <w:r xml:space="preserve">
        <w:t> </w:t>
      </w:r>
      <w:r xml:space="preserve">
        <w:t> </w:t>
      </w:r>
      <w:r>
        <w:t xml:space="preserve">who is a permittee or an employee of a permittee if the person is supervising the operation of the premises;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who possesses a handgun the person is licensed to carry under Subchapter H, Chapter 411, Government Code, unless the person is on the premises of a business described by Section 46.035(b)(1), Penal Code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who possesses a handgun and is a person described by Section 46.15(m),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61.71(f), Alcoholic Beverage Code, is amended to read as follows:</w:t>
      </w:r>
    </w:p>
    <w:p w:rsidR="003F3435" w:rsidRDefault="0032493E">
      <w:pPr>
        <w:spacing w:line="480" w:lineRule="auto"/>
        <w:ind w:firstLine="720"/>
        <w:jc w:val="both"/>
      </w:pPr>
      <w:r>
        <w:t xml:space="preserve">(f)</w:t>
      </w:r>
      <w:r xml:space="preserve">
        <w:t> </w:t>
      </w:r>
      <w:r xml:space="preserve">
        <w:t> </w:t>
      </w:r>
      <w:r>
        <w:t xml:space="preserve">Except as provided by Subsection (g) or (j), the commission or administrator shall cancel an original or renewal dealer's on-premises or off-premises license if it is found, after notice and hearing, that the licensee knowingly allowed a person to possess a firearm in a building on the licensed premises. This subsection does not apply to a person:</w:t>
      </w:r>
    </w:p>
    <w:p w:rsidR="003F3435" w:rsidRDefault="0032493E">
      <w:pPr>
        <w:spacing w:line="480" w:lineRule="auto"/>
        <w:ind w:firstLine="1440"/>
        <w:jc w:val="both"/>
      </w:pPr>
      <w:r>
        <w:t xml:space="preserve">(1)</w:t>
      </w:r>
      <w:r xml:space="preserve">
        <w:t> </w:t>
      </w:r>
      <w:r xml:space="preserve">
        <w:t> </w:t>
      </w:r>
      <w:r>
        <w:t xml:space="preserve">who holds a security officer commission issued under Chapter 1702, Occupations Code, if:</w:t>
      </w:r>
    </w:p>
    <w:p w:rsidR="003F3435" w:rsidRDefault="0032493E">
      <w:pPr>
        <w:spacing w:line="480" w:lineRule="auto"/>
        <w:ind w:firstLine="2160"/>
        <w:jc w:val="both"/>
      </w:pPr>
      <w:r>
        <w:t xml:space="preserve">(A)</w:t>
      </w:r>
      <w:r xml:space="preserve">
        <w:t> </w:t>
      </w:r>
      <w:r xml:space="preserve">
        <w:t> </w:t>
      </w:r>
      <w:r>
        <w:t xml:space="preserve">the person is engaged in the performance of the person's duties as a security officer;</w:t>
      </w:r>
    </w:p>
    <w:p w:rsidR="003F3435" w:rsidRDefault="0032493E">
      <w:pPr>
        <w:spacing w:line="480" w:lineRule="auto"/>
        <w:ind w:firstLine="2160"/>
        <w:jc w:val="both"/>
      </w:pPr>
      <w:r>
        <w:t xml:space="preserve">(B)</w:t>
      </w:r>
      <w:r xml:space="preserve">
        <w:t> </w:t>
      </w:r>
      <w:r xml:space="preserve">
        <w:t> </w:t>
      </w:r>
      <w:r>
        <w:t xml:space="preserve">the person is wearing a distinctive uniform; and</w:t>
      </w:r>
    </w:p>
    <w:p w:rsidR="003F3435" w:rsidRDefault="0032493E">
      <w:pPr>
        <w:spacing w:line="480" w:lineRule="auto"/>
        <w:ind w:firstLine="2160"/>
        <w:jc w:val="both"/>
      </w:pPr>
      <w:r>
        <w:t xml:space="preserve">(C)</w:t>
      </w:r>
      <w:r xml:space="preserve">
        <w:t> </w:t>
      </w:r>
      <w:r xml:space="preserve">
        <w:t> </w:t>
      </w:r>
      <w:r>
        <w:t xml:space="preserve">the weapon is in plain view;</w:t>
      </w:r>
    </w:p>
    <w:p w:rsidR="003F3435" w:rsidRDefault="0032493E">
      <w:pPr>
        <w:spacing w:line="480" w:lineRule="auto"/>
        <w:ind w:firstLine="1440"/>
        <w:jc w:val="both"/>
      </w:pPr>
      <w:r>
        <w:t xml:space="preserve">(2)</w:t>
      </w:r>
      <w:r xml:space="preserve">
        <w:t> </w:t>
      </w:r>
      <w:r xml:space="preserve">
        <w:t> </w:t>
      </w:r>
      <w:r>
        <w:t xml:space="preserve">who is a peace officer;</w:t>
      </w:r>
    </w:p>
    <w:p w:rsidR="003F3435" w:rsidRDefault="0032493E">
      <w:pPr>
        <w:spacing w:line="480" w:lineRule="auto"/>
        <w:ind w:firstLine="1440"/>
        <w:jc w:val="both"/>
      </w:pPr>
      <w:r>
        <w:t xml:space="preserve">(3)</w:t>
      </w:r>
      <w:r xml:space="preserve">
        <w:t> </w:t>
      </w:r>
      <w:r xml:space="preserve">
        <w:t> </w:t>
      </w:r>
      <w:r>
        <w:t xml:space="preserve">who is a licensee or an employee of a licensee if the person is supervising the operation of the premises;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who possesses a handgun the person is licensed to carry under Subchapter H, Chapter 411, Government Code, unless the person is on the premises of a business described by Section 46.035(b)(1), Penal Code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who possesses a handgun and is a person described by Section 46.15(m),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