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87R862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1095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(a-7), (a-8), and (a-9)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"maximum compressed rate" means the maximum compressed rate of a school district as calculated under Section 48.2551, Education Code.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2019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greater of zero or the amount computed under Subdivision (1) from the amount of tax the district imposed on the homestead in the 2018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2019 tax year attributable to improvements made in the 2018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2019 tax year by a tax rate equal to the difference between the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(11).</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2019 tax year by a tax rate equal to the difference between the school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2019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(8).</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2020 tax year by a tax rate equal to the difference between the school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2020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(5).</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2021 tax year by a tax rate equal to the difference between the school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2021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(2).</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Notwithstanding the other provisions of this section, if in the 2023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current tax year attributable to improvements made in the preceding tax year as provided by Subsection (b) to the amount computed under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