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87R3336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1097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w:t>
      </w:r>
      <w:r>
        <w:rPr>
          <w:u w:val="single"/>
        </w:rPr>
        <w:t xml:space="preserve"> </w:t>
      </w:r>
      <w:r>
        <w:rPr>
          <w:u w:val="single"/>
        </w:rPr>
        <w:t xml:space="preserve">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432.003.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seller, preparer, or manufacturer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engages in selling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LABELING REQUIRED.  (a) </w:t>
      </w:r>
      <w:r>
        <w:rPr>
          <w:u w:val="single"/>
        </w:rPr>
        <w:t xml:space="preserve"> </w:t>
      </w:r>
      <w:r>
        <w:rPr>
          <w:u w:val="single"/>
        </w:rPr>
        <w:t xml:space="preserve">A kratom processor shall label each kratom product with the product use directions necessary to ensure safe and effective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not sell a kratom product that is not properly labeled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DISTRIBUTION AND SALE OF KRATOM PRODUCTS TO MINORS PROHIBITED.  A person may not distribute, sell, or expose for sale a kratom product to someone who is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the district or county attorney for the county, or the municipal attorney of the municipality in which the violation is alleged to have occurred may bring an action to recover a civil penalty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