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87R16046 JRR-F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Paddie, Canales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1105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vehicles authorized to be equipped with a digital license plate.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504.154(a),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board by rule shall allow a vehicle </w:t>
      </w:r>
      <w:r>
        <w:rPr>
          <w:u w:val="single"/>
        </w:rPr>
        <w:t xml:space="preserve">registered under Chapter 502</w:t>
      </w:r>
      <w:r>
        <w:t xml:space="preserve"> [</w:t>
      </w:r>
      <w:r>
        <w:rPr>
          <w:strike/>
        </w:rPr>
        <w:t xml:space="preserve">described by Subsection (b)</w:t>
      </w:r>
      <w:r>
        <w:t xml:space="preserve">] to be equipped with a digital license plate that is placed on the rear of the vehicle in lieu of a physical license plate issued under this chapter. </w:t>
      </w:r>
      <w:r>
        <w:t xml:space="preserve"> </w:t>
      </w:r>
      <w:r>
        <w:t xml:space="preserve">The rule must require the owner of a vehicle issued a digital license plate to obtain a physical license plate to be placed on the front of the vehicle unless the vehicle is of a class of vehicles that is not required to display two license plates, as provided by other law.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504.154(b), Transportation Code, is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1105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