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87R7359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the authorization of digital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504.154, Subchapter B-1, Chapter 504, Transportation Code, is amended to read as follows:</w:t>
      </w:r>
    </w:p>
    <w:p w:rsidR="003F3435" w:rsidRDefault="0032493E">
      <w:pPr>
        <w:spacing w:line="480" w:lineRule="auto"/>
        <w:ind w:firstLine="720"/>
        <w:jc w:val="both"/>
      </w:pPr>
      <w:r>
        <w:t xml:space="preserve">Sec.</w:t>
      </w:r>
      <w:r xml:space="preserve">
        <w:t> </w:t>
      </w:r>
      <w:r>
        <w:t xml:space="preserve">504.154.</w:t>
      </w:r>
      <w:r xml:space="preserve">
        <w:t> </w:t>
      </w:r>
      <w:r xml:space="preserve">
        <w:t> </w:t>
      </w:r>
      <w:r>
        <w:t xml:space="preserve">DIGITAL LICENSE PLATES AUTHORIZED.  (a)  The board by rule shall allow a vehicle described by Subsection (b)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t xml:space="preserve">(b)</w:t>
      </w:r>
      <w:r xml:space="preserve">
        <w:t> </w:t>
      </w:r>
      <w:r xml:space="preserve">
        <w:t> </w:t>
      </w:r>
      <w:r>
        <w:t xml:space="preserve">A vehicle registered under Chapter 502 may be equipped with a digital license plate</w:t>
      </w:r>
      <w:r>
        <w:rPr>
          <w:u w:val="single"/>
        </w:rPr>
        <w:t xml:space="preserve">.</w:t>
      </w:r>
      <w:r>
        <w:t xml:space="preserve"> [</w:t>
      </w:r>
      <w:r>
        <w:rPr>
          <w:strike/>
        </w:rPr>
        <w:t xml:space="preserve">only if the vehicle: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is part of a commercial fleet, as defined by Section 502.001;</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is owned or operated by a governmental entity;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is not a passenger vehicle.</w:t>
      </w:r>
      <w:r>
        <w:t xml:space="preserve">]</w:t>
      </w:r>
    </w:p>
    <w:p w:rsidR="003F3435" w:rsidRDefault="0032493E">
      <w:pPr>
        <w:spacing w:line="480" w:lineRule="auto"/>
        <w:ind w:firstLine="720"/>
        <w:jc w:val="both"/>
      </w:pPr>
      <w:r>
        <w:t xml:space="preserve">(c)</w:t>
      </w:r>
      <w:r xml:space="preserve">
        <w:t> </w:t>
      </w:r>
      <w:r xml:space="preserve">
        <w:t> </w:t>
      </w:r>
      <w: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t xml:space="preserve">(d)</w:t>
      </w:r>
      <w:r xml:space="preserve">
        <w:t> </w:t>
      </w:r>
      <w:r xml:space="preserve">
        <w:t> </w:t>
      </w:r>
      <w:r>
        <w:t xml:space="preserve">Notwithstanding any other law, a rule adopted under this subchapter may:</w:t>
      </w:r>
    </w:p>
    <w:p w:rsidR="003F3435" w:rsidRDefault="0032493E">
      <w:pPr>
        <w:spacing w:line="480" w:lineRule="auto"/>
        <w:ind w:firstLine="1440"/>
        <w:jc w:val="both"/>
      </w:pPr>
      <w:r>
        <w:t xml:space="preserve">(1)</w:t>
      </w:r>
      <w:r xml:space="preserve">
        <w:t> </w:t>
      </w:r>
      <w:r xml:space="preserve">
        <w:t> </w:t>
      </w:r>
      <w:r>
        <w:t xml:space="preserve">authorize the display of the vehicle's registration insignia on a digital license plate issued for the vehicle in lieu of attaching the registration insignia to the inside of the vehicle's windshield as required by Section 502.059;</w:t>
      </w:r>
    </w:p>
    <w:p w:rsidR="003F3435" w:rsidRDefault="0032493E">
      <w:pPr>
        <w:spacing w:line="480" w:lineRule="auto"/>
        <w:ind w:firstLine="1440"/>
        <w:jc w:val="both"/>
      </w:pPr>
      <w:r>
        <w:t xml:space="preserve">(2)</w:t>
      </w:r>
      <w:r xml:space="preserve">
        <w:t> </w:t>
      </w:r>
      <w:r xml:space="preserve">
        <w:t> </w:t>
      </w:r>
      <w:r>
        <w:t xml:space="preserve">establish a fee in an amount necessary to cover any administrative costs incurred that relate to the issuance of a digital license plate and exceed the administrative costs incurred for the issuance of a physical license plate; or</w:t>
      </w:r>
    </w:p>
    <w:p w:rsidR="003F3435" w:rsidRDefault="0032493E">
      <w:pPr>
        <w:spacing w:line="480" w:lineRule="auto"/>
        <w:ind w:firstLine="1440"/>
        <w:jc w:val="both"/>
      </w:pPr>
      <w:r>
        <w:t xml:space="preserve">(3)</w:t>
      </w:r>
      <w:r xml:space="preserve">
        <w:t> </w:t>
      </w:r>
      <w:r xml:space="preserve">
        <w:t> </w:t>
      </w:r>
      <w:r>
        <w:t xml:space="preserve">prohibit a digital license plate provider from contracting with the department under Subchapter J.</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