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1116</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toll collection and enforcement on state highway toll lanes by entities other than the Texas Department of Transportation.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228.059, Transportation Code, is amended to read as follows:</w:t>
      </w:r>
    </w:p>
    <w:p w:rsidR="003F3435" w:rsidRDefault="0032493E">
      <w:pPr>
        <w:spacing w:line="480" w:lineRule="auto"/>
        <w:ind w:firstLine="720"/>
        <w:jc w:val="both"/>
      </w:pPr>
      <w:r>
        <w:t xml:space="preserve">Sec.</w:t>
      </w:r>
      <w:r xml:space="preserve">
        <w:t> </w:t>
      </w:r>
      <w:r>
        <w:t xml:space="preserve">228.059.</w:t>
      </w:r>
      <w:r xml:space="preserve">
        <w:t> </w:t>
      </w:r>
      <w:r xml:space="preserve">
        <w:t> </w:t>
      </w:r>
      <w:r>
        <w:t xml:space="preserve">TOLL COLLECTION AND ENFORCEMENT BY OTHER ENTITY.  </w:t>
      </w:r>
      <w:r>
        <w:rPr>
          <w:u w:val="single"/>
        </w:rPr>
        <w:t xml:space="preserve">(a)</w:t>
      </w:r>
      <w:r>
        <w:t xml:space="preserve">  An entity operating a toll lane pursuant to Section 228.007(b) </w:t>
      </w:r>
      <w:r>
        <w:rPr>
          <w:u w:val="single"/>
        </w:rPr>
        <w:t xml:space="preserve">or under an agreement under Subchapter E, Chapter 223,</w:t>
      </w:r>
      <w:r>
        <w:t xml:space="preserve"> has, with regard to toll collection and enforcement for that toll lane, the same powers and duties as the department under this chapter</w:t>
      </w:r>
      <w:r>
        <w:rPr>
          <w:u w:val="single"/>
        </w:rPr>
        <w:t xml:space="preserve">, except as provided by Subsection (b)</w:t>
      </w:r>
      <w:r>
        <w:t xml:space="preserve">.  The entity may use revenues for improvement, extension, expansion, or maintenance of the toll lane.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Sections 228.0545, 228.0546, and 228.0547 or other law, a toll collected pursuant to an agreement for tolling services with a toll project entity, as defined by Section 371.001, other than the department is governed by the fee and fine structure of the entity issuing the initial toll invoice.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2021.</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1116 was passed by the House on April 13, 2021, by the following vote:</w:t>
      </w:r>
      <w:r xml:space="preserve">
        <w:t> </w:t>
      </w:r>
      <w:r xml:space="preserve">
        <w:t> </w:t>
      </w:r>
      <w:r>
        <w:t xml:space="preserve">Yeas 145, Nays 2, 1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1116 was passed by the Senate on April 29, 2021, by the following vote:</w:t>
      </w:r>
      <w:r xml:space="preserve">
        <w:t> </w:t>
      </w:r>
      <w:r xml:space="preserve">
        <w:t> </w:t>
      </w:r>
      <w:r>
        <w:t xml:space="preserve">Yeas 29, Nays 2.</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r xml:space="preserve">
        <w:t> </w:t>
      </w:r>
    </w:p>
    <w:p w:rsidR="003F3435" w:rsidRDefault="0032493E">
      <w:pPr>
        <w:spacing w:line="480" w:lineRule="auto"/>
        <w:jc w:val="both"/>
      </w:pPr>
      <w:r>
        <w:t xml:space="preserve">APPROVED:</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1116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