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87R1687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road reports.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251.005 and 251.018, Transportation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252.006(e),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ex officio road commissioner has the duties of a supervisor of public roads as provided by </w:t>
      </w:r>
      <w:r>
        <w:rPr>
          <w:u w:val="single"/>
        </w:rPr>
        <w:t xml:space="preserve">Section</w:t>
      </w:r>
      <w:r>
        <w:t xml:space="preserve"> [</w:t>
      </w:r>
      <w:r>
        <w:rPr>
          <w:strike/>
        </w:rPr>
        <w:t xml:space="preserve">Sections</w:t>
      </w:r>
      <w:r>
        <w:t xml:space="preserve">] 251.004 [</w:t>
      </w:r>
      <w:r>
        <w:rPr>
          <w:strike/>
        </w:rPr>
        <w:t xml:space="preserve">and 251.005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applying for a grant under this subchapter, the county shall[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road condition report described by Section 251.018 made by the county for the previous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submit to the department a plan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provides a list of transportation infrastructure projects to be funded by the grant;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describes the scope of the transportation infrastructure project or projects to be funded by the grant using best practices for prioritizing the projects;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provides for matching funds as required by Section 256.105;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meets any other requirements imposed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256.106(a),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that makes a second or subsequent application for a grant from the department under this subchapter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provide the department with a copy of a report filed under Section 251.018;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certify that all previous grants are being spent in accordance with the plan submitted under Section 256.104;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provide an accounting of how previous grants were spent, including any amounts spent on administrative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