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87R1298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Anchia</w:t>
      </w:r>
      <w:r xml:space="preserve">
        <w:tab wTab="150" tlc="none" cTlc="0"/>
      </w:r>
      <w:r>
        <w:t xml:space="preserve">H.B.</w:t>
      </w:r>
      <w:r xml:space="preserve">
        <w:t> </w:t>
      </w:r>
      <w:r>
        <w:t xml:space="preserve">No.</w:t>
      </w:r>
      <w:r xml:space="preserve">
        <w:t> </w:t>
      </w:r>
      <w:r>
        <w:t xml:space="preserve">1125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duties of law enforcement agencies concerning certain information subject to disclosure to a defendant.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Richard Miles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 Code of Criminal Procedure, is amended by adding Article 2.1397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2.1397.</w:t>
      </w:r>
      <w:r>
        <w:rPr>
          <w:u w:val="single"/>
        </w:rPr>
        <w:t xml:space="preserve"> </w:t>
      </w:r>
      <w:r>
        <w:rPr>
          <w:u w:val="single"/>
        </w:rPr>
        <w:t xml:space="preserve"> </w:t>
      </w:r>
      <w:r>
        <w:rPr>
          <w:u w:val="single"/>
        </w:rPr>
        <w:t xml:space="preserve">DUTIES OF LAW ENFORCEMENT AGENCY FILING CASE.  (a)  In this article: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"Attorney representing the state" means an attorney authorized by law to represent the state in a criminal case, including a district attorney, criminal district attorney, county attorney with criminal jurisdiction, or city or municipal attorney.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"Law enforcement agency" means an agency of the state or an agency of a political subdivision of the state authorized by law to employ peace officers.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law enforcement agency filing a case with the attorney representing the state shall include with the case file: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documents, items, and information in the possession of the agency that are required to be disclosed to the defendant in the case under Article 39.14;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written statement by a peace officer employed by the agency acknowledging that the documents, items, and information filed with the case under Subdivision (1) constitute all of the documents, items, and information in the possession of the agency that are required to be disclosed to the defendant in the case under Article 39.14.</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at any time after the case is filed with the attorney representing the state the law enforcement agency discovers or acquires any additional document, item, or information required to be disclosed to the defendant under Article 39.14, a peace officer employed by the agency shall promptly transmit the document, item, or information to the attorney representing the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law enforcement agency shall promptly disclose to each attorney representing the state with whom the agency files cases the identity of each peace officer or other employee of the agency for whom a finding of misconduct has been sustained if that finding would be required to be disclosed to a defendant under Article 39.14.</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