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1127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application for a writ of habeas corpus in a community supervision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 Article 11.072,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Immediately on filing an application, the applicant shall serve a copy of the application on the attorney representing the state[</w:t>
      </w:r>
      <w:r>
        <w:rPr>
          <w:strike/>
        </w:rPr>
        <w:t xml:space="preserve">,</w:t>
      </w:r>
      <w:r>
        <w:t xml:space="preserve">]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either</w:t>
      </w:r>
      <w:r>
        <w:t xml:space="preserve">] certified mail, return receipt requested</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personal service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secure electronic mail or another form of secure electronic transmission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