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87R9100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H.B.</w:t>
      </w:r>
      <w:r xml:space="preserve">
        <w:t> </w:t>
      </w:r>
      <w:r>
        <w:t xml:space="preserve">No.</w:t>
      </w:r>
      <w:r xml:space="preserve">
        <w:t> </w:t>
      </w:r>
      <w:r>
        <w:t xml:space="preserve">1133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election to revoke a county equalization tax imposed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45, Education Code, is amended by adding Subchapter K to read as follows:</w:t>
      </w:r>
    </w:p>
    <w:p w:rsidR="003F3435" w:rsidRDefault="0032493E">
      <w:pPr>
        <w:spacing w:line="480" w:lineRule="auto"/>
        <w:jc w:val="center"/>
      </w:pPr>
      <w:r>
        <w:rPr>
          <w:u w:val="single"/>
        </w:rPr>
        <w:t xml:space="preserve">SUBCHAPTER K.  COUNTY EQUALIZATION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45.351.</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subchapter applies only to a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a population of more than 40,000 but less than 55,000;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a county equalization tax was adopted under former Chapter 18 of this code, as that chapter existed on May 1, 1995, and continues in effect under Section 11.301.</w:t>
      </w:r>
    </w:p>
    <w:p w:rsidR="003F3435" w:rsidRDefault="0032493E">
      <w:pPr>
        <w:spacing w:line="480" w:lineRule="auto"/>
        <w:ind w:firstLine="720"/>
        <w:jc w:val="both"/>
      </w:pPr>
      <w:r>
        <w:rPr>
          <w:u w:val="single"/>
        </w:rPr>
        <w:t xml:space="preserve">Sec.</w:t>
      </w:r>
      <w:r>
        <w:rPr>
          <w:u w:val="single"/>
        </w:rPr>
        <w:t xml:space="preserve"> </w:t>
      </w:r>
      <w:r>
        <w:rPr>
          <w:u w:val="single"/>
        </w:rPr>
        <w:t xml:space="preserve">45.352.</w:t>
      </w:r>
      <w:r>
        <w:rPr>
          <w:u w:val="single"/>
        </w:rPr>
        <w:t xml:space="preserve"> </w:t>
      </w:r>
      <w:r>
        <w:rPr>
          <w:u w:val="single"/>
        </w:rPr>
        <w:t xml:space="preserve"> </w:t>
      </w:r>
      <w:r>
        <w:rPr>
          <w:u w:val="single"/>
        </w:rPr>
        <w:t xml:space="preserve">ELECTION TO REVOKE COUNTY EQUALIZATION TAX.  The commissioners court of a county to which this subchapter applies may order an election on the question of revoking the county equalization tax, in accordance with former Section 18.11 of this code and other applicable provisions of former Chapter 18, as that chapter existed on May 1, 1995, that continues in effect under Section 11.301.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