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87R3399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1138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electronic tracking of an application for a ballot voted by mail or of a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86, Election Code, is amended by adding Section 86.015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86.015.</w:t>
      </w:r>
      <w:r>
        <w:rPr>
          <w:u w:val="single"/>
        </w:rPr>
        <w:t xml:space="preserve"> </w:t>
      </w:r>
      <w:r>
        <w:rPr>
          <w:u w:val="single"/>
        </w:rPr>
        <w:t xml:space="preserve"> </w:t>
      </w:r>
      <w:r>
        <w:rPr>
          <w:u w:val="single"/>
        </w:rPr>
        <w:t xml:space="preserve">ELECTRONIC TRACKING OF APPLICATION FOR BALLOT VOTED BY MAIL OR BALLOT VOTED BY MAIL.  (a)  The secretary of state shall develop or otherwise provide an online tool to each early voting clerk that enables a person who submits an application for a ballot to be voted by mail to track the location and status of the person's application and ballot  on the secretary's Internet website and on the county's Internet website if the early voting clerk is the county clerk of a county that maintains an Internet website.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online tool used under this section must update the applicable Internet website as soon as practicable after each of the following events occurs: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receipt by the early voting clerk of the person's application for a ballot to be voted by mail;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acceptance or rejection by the early voting clerk of the person's application for a ballot to be voted 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placement in the mail by the early voting clerk of the person's official ballot;</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receipt by the early voting clerk of the person's marked ballot;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acceptance or rejection by the early voting ballot board of a person's marked ballot.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and prescribe procedures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