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87R3178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1143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publication of pathogen-related fresh water data by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26.0152.</w:t>
      </w:r>
      <w:r>
        <w:rPr>
          <w:u w:val="single"/>
        </w:rPr>
        <w:t xml:space="preserve"> </w:t>
      </w:r>
      <w:r>
        <w:rPr>
          <w:u w:val="single"/>
        </w:rPr>
        <w:t xml:space="preserve"> </w:t>
      </w:r>
      <w:r>
        <w:rPr>
          <w:u w:val="single"/>
        </w:rPr>
        <w:t xml:space="preserve">ONLINE PUBLICATION OF FRESH WATER DATA.  The commission shall publish on the commission's Internet website data from available monitoring data and assessment results related to pathogens and pathogen indicators in lakes, bays, springs, rivers, streams, creeks, inlets, and other bodies of fresh water commonly used for swimming, fishing, or other recreation.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