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1155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 utility districts to select the municipality that will have authority over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54.0163, Water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may not change a selection made under this  section without the consent of all affected municipalities.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54.0163(e), Water Code, as added by this Act, applies to a selection of municipal authority made by a municipal utility district under Section 54.163, Water Code, regardless of the date the selection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