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87R2863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replacement of a presidential or vice-presidential candidate in the event of the candidate's withdrawal, death, or ineligibility.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