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87R2770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1161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report on state actions to prevent chemical dependency facilities from engaging in certain prohibited solicitation practices.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164, Health and Safety Code, is amended by adding Section 164.015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164.015.</w:t>
      </w:r>
      <w:r>
        <w:rPr>
          <w:u w:val="single"/>
        </w:rPr>
        <w:t xml:space="preserve"> </w:t>
      </w:r>
      <w:r>
        <w:rPr>
          <w:u w:val="single"/>
        </w:rPr>
        <w:t xml:space="preserve"> </w:t>
      </w:r>
      <w:r>
        <w:rPr>
          <w:u w:val="single"/>
        </w:rPr>
        <w:t xml:space="preserve">ANNUAL REPORT ON STATE ACTIONS TO PREVENT CERTAIN PROHIBITED SOLICITATION PRACTICES.  (a) Not later than November 1 of each year, the office of the attorney general, in conjunction with the commission, shall prepare a written report on actions brought on behalf of this state during the preceding state fiscal year, including actions to assess a civil or an administrative penalty or to impose an injunction, against a chemical dependency facility for a violation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chapter related to prohibited solicitation practices;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102, Occupations Code, related to prohibited solicitation practices.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the attorney general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the report prepared under Subsection (a) to the executive commissioner and the members of each standing committee of the legislature with jurisdiction over public health;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the report on the attorney general's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Notwithstanding Section 164.015, Health and Safety Code, as added by this Act, the office of the attorney general is not required to submit the first report under that section until November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