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87R8418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Middleton, Vasut, Guillen, Morrison,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Lozano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authorize the operation of a golf cart or off-highway vehicle on certain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551.404(c),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500,000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551A.053(c),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500,000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