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87R3518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for public office and to the form of an application for a place on the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141.031,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support of the statement required by Subsection (a)(4)(G), a candidate shall provide a certified copy of the candidate's pardon or other documentation evincing removal of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141.039.</w:t>
      </w:r>
      <w:r xml:space="preserve">
        <w:t> </w:t>
      </w:r>
      <w:r xml:space="preserve">
        <w:t> </w:t>
      </w:r>
      <w:r>
        <w:t xml:space="preserve">OFFICIAL APPLICATION FORM.  In addition to the other statements and spaces for entering information that appear on an officially prescribed form for an application for a place on the ballot, each official form for an application that a candidate is required to file under this code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space for indicating the form in which the candidate's name is to appear on the ballot;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space for the candidate's public mailing address;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spaces for the candidate's home and office telephone numbers and e-mail address at which the candidate receives correspondence relating to the candidate's campaign;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statement informing candidates that the furnishing of the telephone numbers is optional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adjacent to the statement required by Section 141.031(a)(4)(G), printed in boldfaced type and capital letters, that reads: "RESTORATION OF VOTING RIGHTS IS NOT THE SAME AS REMOVAL OF DISABILITY FOR PURPOSES OF SATISFYING ELIGIBILITY REQUIREMENTS FOR PUBLIC OFFICE."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