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87R3516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requirements for public office for persons finally convicted of a felony.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141.001(a),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to be a candidate for, or elected or appointed to, a public elective office in this state,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18 years of age or older on the first day of the term to be filled at the election or on the date of appointment, as applicable;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have not been finally convicted of a felony from which the person has not been pardoned or otherwise released from the resulting disabilities </w:t>
      </w:r>
      <w:r>
        <w:rPr>
          <w:u w:val="single"/>
        </w:rPr>
        <w:t xml:space="preserve">by a court of competent jurisdiction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have resided continuously in the state for 12 months and in the territory from which the office is elected for six months immediately preceding the following date: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candidate whose name is to appear on a general primary election ballot,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an independent candidate,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a write-in candidate, the date of the election at which the candidate's name is written in;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for a party nominee who is nominated by any method other than by primary election, the date the nomination is made;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for an appointee to an office, the date the appointment is made;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on the date described by Subdivision (5), be registered to vote in the territory from which the office is elected;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satisfy any other eligibility requirements prescribed by law for the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