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87R5340 CAE-D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Dutton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1188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requiring certain open-enrollment charter schools to comply with historically underutilized business provisions.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12.1058, Education Code, is amended by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an open-enrollment charter school has 5,000 or more students in average daily attendance as determined under Section 48.005, the school is considered to be a state agency for purposes of Chapter 2161,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1188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