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1193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17,</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4,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jurisdiction of a juvenile court over certain persons and to the sealing and nondisclosure of certain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prosecuting attorney exercised due diligence in an attempt to complete the proceeding before the respondent became 18 or 19 years of age, as applicable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proceeding has been delayed through no fault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58.256, Family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received a determinate sentence </w:t>
      </w:r>
      <w:r>
        <w:rPr>
          <w:u w:val="single"/>
        </w:rPr>
        <w:t xml:space="preserve">and was transferred to district court under Section 54.051 or 54.11</w:t>
      </w:r>
      <w:r>
        <w:t xml:space="preserve"> [</w:t>
      </w:r>
      <w:r>
        <w:rPr>
          <w:strike/>
        </w:rPr>
        <w:t xml:space="preserve">for engaging in: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delinquent conduct that violated a penal law listed under Section 53.045;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habitual felony conduct as described by Section 51.031</w:t>
      </w:r>
      <w:r>
        <w:t xml:space="preserve">];</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on</w:t>
      </w:r>
      <w:r>
        <w:t xml:space="preserve"> [</w:t>
      </w:r>
      <w:r>
        <w:rPr>
          <w:strike/>
        </w:rPr>
        <w:t xml:space="preserve">On</w:t>
      </w:r>
      <w:r>
        <w:t xml:space="preserve">]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this section from a person who received a determinate sentence and was not transferred to a district court under Section 54.051 or 54.11, the court shall hold a hearing under Section 58.257 to determine whether it is in the best interest of the person and of justice to order the sealing of the person's records and may order the records to be sealed.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conduct violating a penal law of this state that occurs on or after the effective date of this Act.  Conduct violating a penal law of this state that occurs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