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forgiveness of a loan made under the Paycheck Protection Program for franchise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Total revenue does not include any amount of loan forgiven under the Paycheck Protection Program, as provided for under section 1106 of the Coronavirus Aid, Relief, and Economic Security Act, as amended by the Paycheck Protection Program Flexibility Act.  </w:t>
      </w:r>
      <w:r>
        <w:rPr>
          <w:u w:val="single"/>
        </w:rPr>
        <w:t xml:space="preserve">Qualifying expenses paid with such loan proceeds may be included in the determination of cost of goods sold under Section 171.1012 or in the determination of compensation under Section 171.1013.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provided in SECTION 2 of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