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87R18538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1200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1200:</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1200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historic or culturally significant buildings, structures, objects, sites, and districts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315, Local Government Code, is amended by adding Section 315.007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315.007.</w:t>
      </w:r>
      <w:r>
        <w:rPr>
          <w:u w:val="single"/>
        </w:rPr>
        <w:t xml:space="preserve"> </w:t>
      </w:r>
      <w:r>
        <w:rPr>
          <w:u w:val="single"/>
        </w:rPr>
        <w:t xml:space="preserve"> </w:t>
      </w:r>
      <w:r>
        <w:rPr>
          <w:u w:val="single"/>
        </w:rPr>
        <w:t xml:space="preserve">PRESERVATION OF HISTORIC AND CULTURALLY SIGNIFICANT BUILDINGS, STRUCTURES, OBJECTS, SITES, AND DISTRICTS IN CERTAIN MUNICIPALITIES.  (a)  A municipality with a population of more than two million that does not exercise zoning authority under Chapter 211 may adopt and enforce an ordinance, order, or other regulation the primary purpose of which is to protect or maintain historic or culturally significant buildings, structures, objects, sites, and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regulation under this section is not considered a zoning regulation for the purposes of Chapter 211 or other law, including a municipal charter, regardless of whether the regulation designates specific districts or other areas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historic district or landmark that was approved before March 1, 2021, by the governing body of a municipality described by Section 315.007, Local Government Code, as added by this Act, is validated.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