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87R4670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1203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arrest records and files for a criminal offense for which a grand jury finds no bill of indictment.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 or</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or a mental health court program created under Chapter 125, Government Code, or former law;</w:t>
      </w:r>
    </w:p>
    <w:p w:rsidR="003F3435" w:rsidRDefault="0032493E">
      <w:pPr>
        <w:spacing w:line="480" w:lineRule="auto"/>
        <w:ind w:firstLine="3600"/>
        <w:jc w:val="both"/>
      </w:pPr>
      <w:r>
        <w:t xml:space="preserve">(d)</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t xml:space="preserve">(e)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grand jury finds no bill of indictment for the offense for which the person was arrested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2(a), Article 55.02,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expunction of records and files under Article 55.01(a)(1)(A), 55.01(a)(1)(B)(i), [</w:t>
      </w:r>
      <w:r>
        <w:rPr>
          <w:strike/>
        </w:rPr>
        <w:t xml:space="preserve">or</w:t>
      </w:r>
      <w:r>
        <w:t xml:space="preserve">] 55.01(a)(2)</w:t>
      </w:r>
      <w:r>
        <w:rPr>
          <w:u w:val="single"/>
        </w:rPr>
        <w:t xml:space="preserve">, or 55.01(a)(3)</w:t>
      </w:r>
      <w:r>
        <w:t xml:space="preserve"> or a person who is eligible for expunction of records and files under Article 55.01(b) may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the expunction of arrest records and files for any criminal offense that occurred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