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1210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construction of a meteorological tower near a federally owned or operated radar installation or military installation;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Utilities Code, is amended by adding Chapter 302 to read as follows:</w:t>
      </w:r>
    </w:p>
    <w:p w:rsidR="003F3435" w:rsidRDefault="0032493E">
      <w:pPr>
        <w:spacing w:line="480" w:lineRule="auto"/>
        <w:jc w:val="center"/>
      </w:pPr>
      <w:r>
        <w:rPr>
          <w:u w:val="single"/>
        </w:rPr>
        <w:t xml:space="preserve">CHAPTER 302.  METEOROLOGICAL TOWERS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302.0001.</w:t>
      </w:r>
      <w:r>
        <w:rPr>
          <w:u w:val="single"/>
        </w:rPr>
        <w:t xml:space="preserve"> </w:t>
      </w:r>
      <w:r>
        <w:rPr>
          <w:u w:val="single"/>
        </w:rPr>
        <w:t xml:space="preserve"> </w:t>
      </w:r>
      <w:r>
        <w:rPr>
          <w:u w:val="single"/>
        </w:rPr>
        <w:t xml:space="preserve">DEFINITION.  In this chapter, "commission" means the Public Utility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302.0002.</w:t>
      </w:r>
      <w:r>
        <w:rPr>
          <w:u w:val="single"/>
        </w:rPr>
        <w:t xml:space="preserve"> </w:t>
      </w:r>
      <w:r>
        <w:rPr>
          <w:u w:val="single"/>
        </w:rPr>
        <w:t xml:space="preserve"> </w:t>
      </w:r>
      <w:r>
        <w:rPr>
          <w:u w:val="single"/>
        </w:rPr>
        <w:t xml:space="preserve">NOTIFICATION REQUIRED FOR CERTAIN METEOROLOGICAL TOWERS.  (a)  This section applies only to a meteorological tower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dry land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50 nautical miles of the boundaries of a federally owned or operated radar installation or military installation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extends 200 feet or higher above ground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constructed for the purpose of conducting a wind study to determine if an area is suitable for wind-powered electric generation.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constructing a meteorological tower described by Subsection (a) shall provide written notice to the commission of the construction not later than the date that construction begins on the tower.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required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constructing the meteorological tower;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the tower;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and location of each federally owned or operated radar installation or military installation in this state whose boundaries are within 50 nautical miles of the tower.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30 days after the date the commission receives notice of the construction of a meteorological tower under Subsection (b), the commission shall provide a copy of the notice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federally owned or operated radar installation or military installation in this state whose boundaries are within 50 nautical miles of the tower;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judge of each county in this state that contains a radar or military installation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judge of each county in this state that borders a county described by Subdivision (2).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and attorney general may enforce the provisions of this section and rules adopted under this section in the manner authorized for the judicial or administrative enforcement of a provision of Title 2 by Subchapter B, Chapter 15, including by imposing administrative penalties.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person who begins construction of a meteorological tower on or after the effective date of this Act.  A person who begins construction of a meteorological tower before the effective date of this Act is governed by the law in effect on the date construction began,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