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87R3689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1211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certain resources in determining eligibility for the supplemental nutrition assistance program during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w:t>
      </w:r>
      <w:r>
        <w:rPr>
          <w:u w:val="single"/>
        </w:rPr>
        <w:t xml:space="preserve"> </w:t>
      </w:r>
      <w:r>
        <w:rPr>
          <w:u w:val="single"/>
        </w:rPr>
        <w:t xml:space="preserve"> </w:t>
      </w:r>
      <w:r>
        <w:rPr>
          <w:u w:val="single"/>
        </w:rPr>
        <w:t xml:space="preserve">EXCLUSION OF CERTAIN RESOURCES IN DETERMINING SNAP ELIGIBILITY DURING DECLARED DISASTER.  (a)  In this section, "disaster declaration" means a declaration by the governor of a state of disaster issued under Section 418.014,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an applicant for or recipient of supplemental nutrition assistance benefits who resides in a county all or part of which is located in an area included in a disaster declaration.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eligibility of an applicant for or recertifying the eligibility of a recipient of supplemental nutrition assistance benefits to whom this section applies, the commission may not consider as resources: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liquid resources of the applicant or recipient or a member of the applicant's or recipient's household, including the total amount of assets held in a school-based account or bond described by Section 28.0024(b)(2), Education Code, that are considered liquid resources, notwithstanding Section 33.0291(b) of this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motor vehicle in which the applicant or recipient or a member of the applicant's or recipient's household has an ownership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continue excluding resources under Subsection (c) until the state of disaster is terminated.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initial determination or recertification of eligibility of a person for the supplemental nutrition assistance program under Chapter 33, Human Resources Code, that is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