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87R18695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Rose, J. Johnson of Harris</w:t>
      </w:r>
      <w:r xml:space="preserve">
        <w:tab wTab="150" tlc="none" cTlc="0"/>
      </w:r>
      <w:r>
        <w:t xml:space="preserve">H.B.</w:t>
      </w:r>
      <w:r xml:space="preserve">
        <w:t> </w:t>
      </w:r>
      <w:r>
        <w:t xml:space="preserve">No.</w:t>
      </w:r>
      <w:r xml:space="preserve">
        <w:t> </w:t>
      </w:r>
      <w:r>
        <w:t xml:space="preserve">1216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1216:</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w:t>
      </w:r>
      <w:r>
        <w:t xml:space="preserve">ing to civil service commission hearings for certain disciplinary actions against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rPr>
          <w:u w:val="single"/>
        </w:rPr>
        <w:t xml:space="preserve">(a) 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meet and confer agreement between a municipality or a law enforcement agency of a municipality and a police officers association under this subchapter may not conflict with and does not supersede Section 143.010(b), (c-1), (e), or (g) or 143.054(c-1), (c-2), or (d-1) if the municipality has adopted Chapter 143.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143.010, Local Government Code, is amended by amending Subsections (b), (e), and (g) and adding Subsections (c-1) and (j) to read as follows:</w:t>
      </w:r>
    </w:p>
    <w:p w:rsidR="003F3435" w:rsidRDefault="0032493E">
      <w:pPr>
        <w:spacing w:line="480" w:lineRule="auto"/>
        <w:ind w:firstLine="720"/>
        <w:jc w:val="both"/>
      </w:pPr>
      <w:r>
        <w:t xml:space="preserve">(b)</w:t>
      </w:r>
      <w:r xml:space="preserve">
        <w:t> </w:t>
      </w:r>
      <w:r xml:space="preserve">
        <w:t> </w:t>
      </w:r>
      <w:r>
        <w:t xml:space="preserve">The appeal must include the basis for the appeal and a request for a commission hearing.  The appeal must also contain a statement denying the truth of the charge as made, a statement taking exception to the legal sufficiency of the charge, a statement alleging that the recommended action does not fit the offense or alleged offense, or a combination of these statements. </w:t>
      </w:r>
      <w:r>
        <w:rPr>
          <w:u w:val="single"/>
        </w:rPr>
        <w:t xml:space="preserve">An appeal by a police officer for a charge for an incident that involves a member of the public must also include the name and address of each impacted individual.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the 30th day before the date of a commission hearing, the commission shall notify each impacted individual of the date and time of the hearing, the individual's right to attend, and instructions for exercising the individual's right to testify at the hearing. </w:t>
      </w:r>
      <w:r>
        <w:rPr>
          <w:u w:val="single"/>
        </w:rPr>
        <w:t xml:space="preserve"> </w:t>
      </w:r>
      <w:r>
        <w:rPr>
          <w:u w:val="single"/>
        </w:rPr>
        <w:t xml:space="preserve">Not later than the fifth day before the date of the hearing, an impacted individual may provide evidence to the commission, including documentation in support of the charge or the recommended action.</w:t>
      </w:r>
    </w:p>
    <w:p w:rsidR="003F3435" w:rsidRDefault="0032493E">
      <w:pPr>
        <w:spacing w:line="480" w:lineRule="auto"/>
        <w:ind w:firstLine="720"/>
        <w:jc w:val="both"/>
      </w:pPr>
      <w:r>
        <w:t xml:space="preserve">(e)</w:t>
      </w:r>
      <w:r xml:space="preserve">
        <w:t> </w:t>
      </w:r>
      <w:r xml:space="preserve">
        <w:t> </w:t>
      </w:r>
      <w:r>
        <w:t xml:space="preserve">The affected fire fighter or police officer </w:t>
      </w:r>
      <w:r>
        <w:rPr>
          <w:u w:val="single"/>
        </w:rPr>
        <w:t xml:space="preserve">or an impacted individual</w:t>
      </w:r>
      <w:r>
        <w:t xml:space="preserve"> may request the commission to subpoena any books, records, documents, papers, accounts, or witnesses that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considers pertinent to the case.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must make the request before the 10th day before the date the commission hearing will be held.  If the commission does not subpoena the material, the commission shall, before the third day before the date the hearing will be held, make a written report to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stating the reason it will not subpoena the requested material.  This report shall be read into the public record of the commission hearing.</w:t>
      </w:r>
    </w:p>
    <w:p w:rsidR="003F3435" w:rsidRDefault="0032493E">
      <w:pPr>
        <w:spacing w:line="480" w:lineRule="auto"/>
        <w:ind w:firstLine="720"/>
        <w:jc w:val="both"/>
      </w:pPr>
      <w:r>
        <w:t xml:space="preserve">(g)</w:t>
      </w:r>
      <w:r xml:space="preserve">
        <w:t> </w:t>
      </w:r>
      <w:r xml:space="preserve">
        <w:t> </w:t>
      </w:r>
      <w:r>
        <w:t xml:space="preserve">The commission shall conduct the hearing fairly and impartially as prescribed by this chapter and shall render a just and fair decision.  The commission may consider only the evidence submitted at the hearing</w:t>
      </w:r>
      <w:r>
        <w:rPr>
          <w:u w:val="single"/>
        </w:rPr>
        <w:t xml:space="preserve">, including any evidence submitted by an impacted individual under Subsection (c-1)</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"impacted individual"</w:t>
      </w:r>
      <w:r>
        <w:rPr>
          <w:u w:val="single"/>
        </w:rPr>
        <w:t xml:space="preserve"> </w:t>
      </w:r>
      <w:r>
        <w:rPr>
          <w:u w:val="single"/>
        </w:rPr>
        <w:t xml:space="preserve">means an individual who was a victim of the alleged incident that is the basis of the charge or a direct witness to the alleged incident. </w:t>
      </w:r>
      <w:r>
        <w:rPr>
          <w:u w:val="single"/>
        </w:rPr>
        <w:t xml:space="preserve"> </w:t>
      </w:r>
      <w:r>
        <w:rPr>
          <w:u w:val="single"/>
        </w:rPr>
        <w:t xml:space="preserve">If a victim is deceased, incapacitated, or unwilling to appear, a representative of the victim may act on behalf of the victim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143.054, Local Government Code, is amended by amending Subsection (c) and adding Subsections (c-1), (c-2), (d-1), and (f) to read as follows:</w:t>
      </w:r>
    </w:p>
    <w:p w:rsidR="003F3435" w:rsidRDefault="0032493E">
      <w:pPr>
        <w:spacing w:line="480" w:lineRule="auto"/>
        <w:ind w:firstLine="720"/>
        <w:jc w:val="both"/>
      </w:pPr>
      <w:r>
        <w:t xml:space="preserve">(c)</w:t>
      </w:r>
      <w:r xml:space="preserve">
        <w:t> </w:t>
      </w:r>
      <w:r xml:space="preserve">
        <w:t> </w:t>
      </w:r>
      <w:r>
        <w:t xml:space="preserve">The commission may refuse to grant the request for demotion </w:t>
      </w:r>
      <w:r>
        <w:rPr>
          <w:u w:val="single"/>
        </w:rPr>
        <w:t xml:space="preserve">of a fire fighter</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commission may refuse to grant a request for demotion of a police officer, the commission shall request from the department the contact information for any impacted individual. </w:t>
      </w:r>
      <w:r>
        <w:rPr>
          <w:u w:val="single"/>
        </w:rPr>
        <w:t xml:space="preserve"> </w:t>
      </w:r>
      <w:r>
        <w:rPr>
          <w:u w:val="single"/>
        </w:rPr>
        <w:t xml:space="preserve">The commission shall notify an impacted individual that the individual may request a public hearing and present reasons why the commission should grant the department's request for demotion of the police officer. </w:t>
      </w:r>
      <w:r>
        <w:rPr>
          <w:u w:val="single"/>
        </w:rPr>
        <w:t xml:space="preserve"> </w:t>
      </w:r>
      <w:r>
        <w:rPr>
          <w:u w:val="single"/>
        </w:rPr>
        <w:t xml:space="preserve">If there are no impacted individuals or the commission does not receive a request for a public hearing from an impacted individual before the 10th day after the date notice was given to the individual, the commission may refuse to grant the request for demotion.</w:t>
      </w:r>
    </w:p>
    <w:p w:rsidR="003F3435" w:rsidRDefault="0032493E">
      <w:pPr>
        <w:spacing w:line="480" w:lineRule="auto"/>
        <w:ind w:firstLine="720"/>
        <w:jc w:val="both"/>
      </w:pPr>
      <w:r>
        <w:rPr>
          <w:u w:val="single"/>
        </w:rPr>
        <w:t xml:space="preserve">(c-2)</w:t>
      </w:r>
      <w:r xml:space="preserve">
        <w:t> </w:t>
      </w:r>
      <w:r xml:space="preserve">
        <w:t> </w:t>
      </w:r>
      <w:r>
        <w:t xml:space="preserve">If the commission believes that probable cause exists for ordering the demotion, the commission shall give the fire fighter or police officer written notice to appear before the commission for a public hearing at a time and place specified in the notice.  The commission shall give the notice before the 10th day before the date the hearing will be held.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the 10th day before the date the public hearing is held, the commission shall give an impacted individual notice of the time and place of the hearing and of the individual's right to testify.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"impacted individual"</w:t>
      </w:r>
      <w:r>
        <w:rPr>
          <w:u w:val="single"/>
        </w:rPr>
        <w:t xml:space="preserve"> </w:t>
      </w:r>
      <w:r>
        <w:rPr>
          <w:u w:val="single"/>
        </w:rPr>
        <w:t xml:space="preserve">means an individual who was a victim of the alleged incident that is the basis of the request for demotion or a direct witness to the alleged incident. </w:t>
      </w:r>
      <w:r>
        <w:rPr>
          <w:u w:val="single"/>
        </w:rPr>
        <w:t xml:space="preserve"> </w:t>
      </w:r>
      <w:r>
        <w:rPr>
          <w:u w:val="single"/>
        </w:rPr>
        <w:t xml:space="preserve">If a victim is deceased, incapacitated, or unwilling to appear, a representative of the victim may act on behalf of the victim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 may not conflict with and does not supersede Section 143.010(b), (c-1), (e), or (g) or 143.054(c-1), (c-2), or (d-1).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may not conflict with and does not supersede Section 143.010(b), (c-1), (e), or (g) or 143.054(c-1), (c-2), or (d-1).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rPr>
          <w:u w:val="single"/>
        </w:rPr>
        <w:t xml:space="preserve">(a) 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affecting police officers that conflicts with Section 143.010(b), (c-1), (e), or (g) or 143.054(c-1), (c-2), or (d-1). </w:t>
      </w:r>
      <w:r>
        <w:rPr>
          <w:u w:val="single"/>
        </w:rPr>
        <w:t xml:space="preserve"> </w:t>
      </w:r>
      <w:r>
        <w:rPr>
          <w:u w:val="single"/>
        </w:rPr>
        <w:t xml:space="preserve">An agreement adopted under this chapter must implement those sections.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disciplinary action for conduct that occurs on or after September 1, 2021.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142.067(b), 143.307(d), 143.361(d), and 174.005(b), Local Government Code, as added by this Act, apply only to an agreement entered into or renewed on or after September 1, 2021. </w:t>
      </w:r>
      <w:r>
        <w:t xml:space="preserve"> </w:t>
      </w:r>
      <w:r>
        <w:t xml:space="preserve">An agreement entered into or renewed before September 1, 2021,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