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1228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membership of the board of managers for certain emergency communication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772.306(o),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In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an emergency communication</w:t>
      </w:r>
      <w:r>
        <w:t xml:space="preserve">] district subject to this subchapter located </w:t>
      </w:r>
      <w:r>
        <w:rPr>
          <w:u w:val="single"/>
        </w:rPr>
        <w:t xml:space="preserve">wholly</w:t>
      </w:r>
      <w:r>
        <w:t xml:space="preserve"> [</w:t>
      </w:r>
      <w:r>
        <w:rPr>
          <w:strike/>
        </w:rPr>
        <w:t xml:space="preserve">entirely</w:t>
      </w:r>
      <w:r>
        <w:t xml:space="preserve">] in a county with a population of less than </w:t>
      </w:r>
      <w:r>
        <w:rPr>
          <w:u w:val="single"/>
        </w:rPr>
        <w:t xml:space="preserve">40,000</w:t>
      </w:r>
      <w:r>
        <w:t xml:space="preserve"> [</w:t>
      </w:r>
      <w:r>
        <w:rPr>
          <w:strike/>
        </w:rPr>
        <w:t xml:space="preserve">30,000</w:t>
      </w:r>
      <w:r>
        <w:t xml:space="preserve">], the board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appropriate members listed in Subsection (c);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peace officer licensed under Chapter 1701, Occupations Code, appointed by the county sheriff.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sheriff of a county to which Section 772.306(o), Health and Safety Code, as amended by this Act, applies shall appoint a peace officer to the board of managers as required by Section 772.306(o) as soon as practicable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1228 was passed by the House on April 9, 2021, by the following vote:</w:t>
      </w:r>
      <w:r xml:space="preserve">
        <w:t> </w:t>
      </w:r>
      <w:r xml:space="preserve">
        <w:t> </w:t>
      </w:r>
      <w:r>
        <w:t xml:space="preserve">Yeas 143,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1228 was passed by the Senate on May 19,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