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1232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indication of the ground of eligibility for early voting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confined</w:t>
      </w:r>
      <w:r>
        <w:t xml:space="preserve"> [</w:t>
      </w:r>
      <w:r>
        <w:rPr>
          <w:strike/>
        </w:rPr>
        <w:t xml:space="preserve">applying on the ground of confinement</w:t>
      </w:r>
      <w:r>
        <w:t xml:space="preserve">] in jail </w:t>
      </w:r>
      <w:r>
        <w:rPr>
          <w:u w:val="single"/>
        </w:rPr>
        <w:t xml:space="preserve">as described by Section 84.009(a)</w:t>
      </w:r>
      <w:r>
        <w:t xml:space="preserve">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 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 or</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82.001, 82.002, 82.003, 82.004, 84.002(b), and 112.002(b), Election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election ordered on or after September 1, 2021.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