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87R4969 ANG-D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Ramos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1248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requiring the posting of certain information on an open-enrollment charter school's Internet website regarding the school's governing body.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12.1211,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12.1211.  </w:t>
      </w:r>
      <w:r>
        <w:rPr>
          <w:u w:val="single"/>
        </w:rPr>
        <w:t xml:space="preserve">INFORMATION REGARDING</w:t>
      </w:r>
      <w:r>
        <w:t xml:space="preserve"> [</w:t>
      </w:r>
      <w:r>
        <w:rPr>
          <w:strike/>
        </w:rPr>
        <w:t xml:space="preserve">NAMES OF</w:t>
      </w:r>
      <w:r>
        <w:t xml:space="preserve">] MEMBERS OF GOVERNING BODY LISTED ON WEBSITE.  An open-enrollment charter school shall list the names of the members of the governing body on the home page of the school's Internet website </w:t>
      </w:r>
      <w:r>
        <w:rPr>
          <w:u w:val="single"/>
        </w:rPr>
        <w:t xml:space="preserve">and provide additional information regarding members of the governing body that is easily accessible on the website, including: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relevant biographical information for each member related to employment history and educational experience;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whether a member has a substantial interest in a business entity as described by Section 171.002, Local Government Code, and if so, whether that business entity contracts with the school;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total number of members;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manner in which the members are selected as described in the school's charter;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terms of service of each member on the governing body;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total number of years each member has served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1248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