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87R5249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1252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 period for filing a complaint and requesting a special education impartial due process hearing.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29.0164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29.0164.</w:t>
      </w:r>
      <w:r>
        <w:rPr>
          <w:u w:val="single"/>
        </w:rPr>
        <w:t xml:space="preserve"> </w:t>
      </w:r>
      <w:r>
        <w:rPr>
          <w:u w:val="single"/>
        </w:rPr>
        <w:t xml:space="preserve"> </w:t>
      </w:r>
      <w:r>
        <w:rPr>
          <w:u w:val="single"/>
        </w:rPr>
        <w:t xml:space="preserve">LIMITATION PERIOD FOR FILING COMPLAINT AND REQUESTING SPECIAL EDUCATION DUE PROCESS HEARING.  The commissioner or agency may not adopt or enforce a rule that establishes a shorter period for filing a due process complaint alleging a violation of state or federal special education laws and requesting an impartial due process hearing than the maximum timeline designated under 20 U.S.C. Sections 1415(b)(6) and (f)(3).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29.0164, Education Code, as added by this Act, applies only to a complaint filed and an impartial due process hearing requested on or after the effective date of this Act. </w:t>
      </w:r>
      <w:r>
        <w:t xml:space="preserve"> </w:t>
      </w:r>
      <w:r>
        <w:t xml:space="preserve">A complaint filed and an impartial due process hearing requested before the effective date of this Act are governed by the law in effect at the time the complaint was filed and the impartial due process hearing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education shall amend rules as necessary to comply with Section 29.0164,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