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87R2588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emergency detention of certain persons with a mental illness or cognitive disability;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573.0001, Health and Safety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"Cognitive disability" means a condition that places certain limitations on a person's mental functioning or skills. Cognitive disabilities include autism, Down syndrome, traumatic brain injury, and dementia.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573.001, Health and Safety Code, is amended by amending Subsection (a) and adding Subsections (i)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officer, without a warrant, may take a person into custody, regardless of the age of the person, if the officer: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reason to believe and does believe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person is a person with mental illness </w:t>
      </w:r>
      <w:r>
        <w:rPr>
          <w:u w:val="single"/>
        </w:rPr>
        <w:t xml:space="preserve">or cognitive disability</w:t>
      </w:r>
      <w: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because of that mental illness </w:t>
      </w:r>
      <w:r>
        <w:rPr>
          <w:u w:val="single"/>
        </w:rPr>
        <w:t xml:space="preserve">or cognitive disability</w:t>
      </w:r>
      <w:r>
        <w:t xml:space="preserve"> there is a substantial risk of serious harm to the person or to others unless the person is immediately restrained;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believes that there is not sufficient time to obtain a warrant before taking the person into custody.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takes a person into custody under Subsection (a) because the peace officer believes that the person is a person with a cognitive disability shall make a good faith effort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least restrictive available and appropriate means of transport;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 transporting the person the person's parent, appointed guardian, managing conservator, or possessory conservator, as applicable.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transports a person to a facility under Subsection (d) shall immediately transfer custody of the person to the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573.012, Health and Safety Code, is amended by amending Subsections (b), (d), and (e) and adding Subsections (d-1), (f-1), (f-2),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judge or</w:t>
      </w:r>
      <w:r>
        <w:t xml:space="preserve"> magistrate shall deny the application unless the </w:t>
      </w:r>
      <w:r>
        <w:rPr>
          <w:u w:val="single"/>
        </w:rPr>
        <w:t xml:space="preserve">judge or</w:t>
      </w:r>
      <w:r>
        <w:t xml:space="preserve"> magistrate finds that there is reasonable cause to believe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evidences mental illness;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evidences a substantial risk of serious harm to </w:t>
      </w:r>
      <w:r>
        <w:rPr>
          <w:u w:val="single"/>
        </w:rPr>
        <w:t xml:space="preserve">the person</w:t>
      </w:r>
      <w:r>
        <w:t xml:space="preserve"> [</w:t>
      </w:r>
      <w:r>
        <w:rPr>
          <w:strike/>
        </w:rPr>
        <w:t xml:space="preserve">himself</w:t>
      </w:r>
      <w:r>
        <w:t xml:space="preserve">] or others;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risk of harm is imminent unless the person is immediately restrained;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necessary restraint cannot be accomplished without emergency detention.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judge or</w:t>
      </w:r>
      <w:r>
        <w:t xml:space="preserve"> magistrate shall issue to an on-duty peace officer a warrant for the person's immediate apprehension if the </w:t>
      </w:r>
      <w:r>
        <w:rPr>
          <w:u w:val="single"/>
        </w:rPr>
        <w:t xml:space="preserve">judge or</w:t>
      </w:r>
      <w:r>
        <w:t xml:space="preserve"> magistrate finds that each criterion under Subsection (b) is satisfied. </w:t>
      </w:r>
      <w:r>
        <w:t xml:space="preserve"> </w:t>
      </w:r>
      <w:r>
        <w:rPr>
          <w:u w:val="single"/>
        </w:rPr>
        <w:t xml:space="preserve">The judge or magistrate shall notify the applicable law enforcement agency of the warrant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e-mail with the warrant attached as a secure document in a portable document format (PDF);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secure electronic means,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satellite transmission;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television transmission;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method of two-way electronic communication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secure;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to the judge or magistrate;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for a simultaneous, compressed full-motion video and interactive communication of image and sound between the judge or magistrate and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that receives a warrant issued under Subsection (d) shall serve the warrant not later than 48 hours after the agency receives the warrant.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(f-1), a</w:t>
      </w:r>
      <w:r>
        <w:t xml:space="preserve"> [</w:t>
      </w:r>
      <w:r>
        <w:rPr>
          <w:strike/>
        </w:rPr>
        <w:t xml:space="preserve">A</w:t>
      </w:r>
      <w:r>
        <w:t xml:space="preserve">] person apprehended under this section shall be transported for a preliminary examination in accordance with Section 573.021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nearest appropriate inpatient mental health facility;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mental health facility deemed suitable by the local mental health authority, if an appropriate inpatient mental health facility is not available.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law enforcement agency has entered into a memorandum of understanding with a local mental health authority to use telehealth service, as defined by Section 111.001, Occupations Code, a peace officer who apprehends a person under this section may arrange for a physician to conduct a telehealth appointment with the apprehended person to determine whether emergency detention is necessary before transporting the person to a facility described by Subsection (e).  If the physician conducting the telehealth appointment determines that emergency detention is not required, the peace officer shall release the person.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peace officer releases an apprehended person under Subsection (f-1), the peace officer must notify the judge or magistrate who issued the warrant for apprehension under Subsection (d) not later than 24 hours after the peace officer released the person.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 not charge a fee in excess of $25 for filing an application for emergency detention or for issuing a warrant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573.021, Health and Safety Code, is amended by adding Subsections (c-1), (c-2), and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may not discharge a person who has been accepted for a preliminary examination before the expiration of the 48-hour period allowed by this section unless 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preliminary examination is completed;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 has determined that the person is not a substantial risk of serious harm to the person or others.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peace officer is contacted to locate a person who has left a facility before the earlier of the time a preliminary exam is completed or the expiration of the 48-hour period allowed by this section, the peace officer must make a good faith effort to locate the person.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peace officer locates a person described by Subsection (c-2), the peace officer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reevaluate whether the person meets the criteria for apprehension under Section 573.001;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meets the criteria for apprehension under that section, transport the person to an appropriate facility described by Subsection (d)(1)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573.024(c),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person was apprehended by a peace officer under Subchapter A, </w:t>
      </w:r>
      <w:r>
        <w:rPr>
          <w:u w:val="single"/>
        </w:rPr>
        <w:t xml:space="preserve">the facility the person was transported to shall make</w:t>
      </w:r>
      <w:r>
        <w:t xml:space="preserve"> arrangements [</w:t>
      </w:r>
      <w:r>
        <w:rPr>
          <w:strike/>
        </w:rPr>
        <w:t xml:space="preserve">must be made</w:t>
      </w:r>
      <w:r>
        <w:t xml:space="preserve">] to immediately transport the person </w:t>
      </w:r>
      <w:r>
        <w:rPr>
          <w:u w:val="single"/>
        </w:rPr>
        <w:t xml:space="preserve">under this section</w:t>
      </w:r>
      <w:r>
        <w:t xml:space="preserve">. If the person was transported for emergency detention under Subchapter A or detained under Subchapter B, the person is entitled to reasonably prompt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