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87R6704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compliance history assessment made for purposes of allocating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2306.057, Government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The board shall fully document and disclose any instances in which the board approves a project application despite any noncompliance associated with the project, applicant, or affiliate </w:t>
      </w:r>
      <w:r>
        <w:rPr>
          <w:u w:val="single"/>
        </w:rPr>
        <w:t xml:space="preserve">that is reported by the department under Subsection (a)(2)</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project application seeking financial assistance administered through the department's multifamily housing programs, the department may not include in the report provided under Subsection (a)(2) any instance of noncompliance associated with a project of the applicant or affiliate of the applicant if the applicant or affiliate has submitted documentation, in a format acceptable to the department, demonstrating that the responsibility for project compliance was delegated to another participant in the project, including, if applicable, a related party as defined by Section 2306.6702.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2306.057, Government Code, applies only to an application for financial assistance that is submitted to the Texas Department of Housing and Community Affairs on or after January 1, 2022.  An application for financial assistance that is submitted to the department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