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87R5821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date on which an election for trustees of certain school districts must be held.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11.0581, Education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(a-1), an</w:t>
      </w:r>
      <w:r>
        <w:t xml:space="preserve"> [</w:t>
      </w:r>
      <w:r>
        <w:rPr>
          <w:strike/>
        </w:rPr>
        <w:t xml:space="preserve">An</w:t>
      </w:r>
      <w:r>
        <w:t xml:space="preserve">] election for trustees of an independent school district shall be held on the same date as: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election for the members of the governing body of a municipality located in the school district;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general election for state and county officers;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election for the members of the governing body of a hospital district, if the school district: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wholly or partly located in a county with a population of less than 40,000 that is adjacent to a county with a population of more than three million;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held its election for trustees jointly with the election for the members of the governing body of the hospital district before May 2007;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election for the members of the governing board of a public junior college district in which the school district is wholly or partly located.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election for the board of trustees of an independent school district with the largest student enrollment in a county with a population of 550,000 or more that is adjacent to a county with a population of 3.3 million or more shall be held on the  November uniform election date as a joint election under Chapter 271, Election Code, with any other election occurring on that date in all or part of the same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