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87R20451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Oliverson, Cain, Noble,</w:t>
      </w:r>
      <w:r xml:space="preserve">
        <w:tab wTab="150" tlc="none" cTlc="0"/>
      </w:r>
      <w:r>
        <w:t xml:space="preserve">H.B.</w:t>
      </w:r>
      <w:r xml:space="preserve">
        <w:t> </w:t>
      </w:r>
      <w:r>
        <w:t xml:space="preserve">No.</w:t>
      </w:r>
      <w:r xml:space="preserve">
        <w:t> </w:t>
      </w:r>
      <w:r>
        <w:t xml:space="preserve">1291</w:t>
      </w:r>
    </w:p>
    <w:p w:rsidR="003F3435" w:rsidRDefault="0032493E">
      <w:pPr>
        <w:jc w:val="both"/>
      </w:pPr>
      <w:r xml:space="preserve">
        <w:t> </w:t>
      </w:r>
      <w:r xml:space="preserve">
        <w:t> </w:t>
      </w:r>
      <w:r xml:space="preserve">
        <w:t> </w:t>
      </w:r>
      <w:r xml:space="preserve">
        <w:t> </w:t>
      </w:r>
      <w:r xml:space="preserve">
        <w:t> </w:t>
      </w:r>
      <w:r>
        <w:t xml:space="preserve">Sanford,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1291:</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1291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the right to object to participation in an abortion procedure for health care personnel of a hospital or health care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103, Occupations Code, is amended by adding Section 103.005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103.005.</w:t>
      </w:r>
      <w:r>
        <w:rPr>
          <w:u w:val="single"/>
        </w:rPr>
        <w:t xml:space="preserve"> </w:t>
      </w:r>
      <w:r>
        <w:rPr>
          <w:u w:val="single"/>
        </w:rPr>
        <w:t xml:space="preserve"> </w:t>
      </w:r>
      <w:r>
        <w:rPr>
          <w:u w:val="single"/>
        </w:rPr>
        <w:t xml:space="preserve">REQUIRED NOTICE.  (a)  A hospital or health care facility at which abortions are performed, including a facility licensed under Chapter 245, Health and Safety Code, shall post a sign in a location easily visible to each physician, nurse, staff member, or employee of the hospital or facility who performs or participates or may perform or participate in an abortion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must inform each physician, nurse, staff member, or employee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has a right to object to directly or indirectly performing or participating in an abortion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hospital or health care facility is prohibited from discriminating against the individual for refusing to perform or participate in an abortion procedure;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 may be entitled to a remedy, including injunctive relief, affirmative relief, and any other necessary relief, under Section 103.003 for a violation of the individual's right to object.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sign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11 inches by 17 inches in size and written in at least a 16-point font;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posted separately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English;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Spanish;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primary language spoken by 10 percent or more of the hospital or health care facility's physicians, nurses, staff members, or employees who perform or participate or may perform or participate in an abortion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