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87R2812 KFF-F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Metcalf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1296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provision of certain notices in guardianship proceedings.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1023.004, Estates Code, is amended by amending Subsection (b) and adding Subsection (c)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 an application is filed by a person other than the guardian [</w:t>
      </w:r>
      <w:r>
        <w:rPr>
          <w:strike/>
        </w:rPr>
        <w:t xml:space="preserve">or if a court made a motion to transfer a guardianship</w:t>
      </w:r>
      <w:r>
        <w:t xml:space="preserve">], the guardian shall be cited by personal service to appear and show cause why the guardianship should not be transferred.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court made a motion to transfer a guardianship, the guardian shall be given notice by certified mail to appear and show cause why the guardianship should not be transferred.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1203.052(b), Estates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addition to the authority granted to the court under Subsection (a), the court may, on the complaint of the guardianship certification program of the Judicial Branch Certification Commission, remove a guardian who would be ineligible for appointment under Subchapter H, Chapter 1104, because of the guardian's failure to maintain the certification required under Subchapter F, Chapter 1104.</w:t>
      </w:r>
      <w:r xml:space="preserve">
        <w:t> </w:t>
      </w:r>
      <w:r xml:space="preserve">
        <w:t> </w:t>
      </w:r>
      <w:r>
        <w:t xml:space="preserve">The guardian shall be </w:t>
      </w:r>
      <w:r>
        <w:rPr>
          <w:u w:val="single"/>
        </w:rPr>
        <w:t xml:space="preserve">given notice, by certified mail, return receipt requested,</w:t>
      </w:r>
      <w:r>
        <w:t xml:space="preserve"> [</w:t>
      </w:r>
      <w:r>
        <w:rPr>
          <w:strike/>
        </w:rPr>
        <w:t xml:space="preserve">cited</w:t>
      </w:r>
      <w:r>
        <w:t xml:space="preserve">] to appear and contest the request for removal under this subsection </w:t>
      </w:r>
      <w:r>
        <w:rPr>
          <w:u w:val="single"/>
        </w:rPr>
        <w:t xml:space="preserve">at a time and place set in the notice</w:t>
      </w:r>
      <w:r>
        <w:t xml:space="preserve"> [</w:t>
      </w:r>
      <w:r>
        <w:rPr>
          <w:strike/>
        </w:rPr>
        <w:t xml:space="preserve">in the manner provided by Subsection (a)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1023.004 and 1203.052(b), Estates Code, as amended by this Act, apply to a guardianship proceeding commenced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1296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