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1302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students who are awarded an associate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have earned a diploma after not more than three and one-half years of high school attendance;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evaluating the performance of elementary, middle, and junior high school campuses and districts that include those campuses, indicators that account for students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grade seven or eight, complete a pre-advanced placement course or pre-international baccalaureate course;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have been promoted to higher grade levels than the grade levels to which the students would ordinarily be assigned;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are identified as gifted and talented and have been promoted to higher grade levels than the grade levels to which the students would ordinarily be assigned;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have received credit by examination;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are identified as gifted and talented and have received credit by examination;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complete not less than 10 project-based learning projects during a school year;</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