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87R552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public school student earning a performance acknowledgment on the student's transcript.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28.025(c-5),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(c-5)</w:t>
      </w:r>
      <w:r xml:space="preserve">
        <w:t> </w:t>
      </w:r>
      <w:r xml:space="preserve">
        <w:t> </w:t>
      </w:r>
      <w:r>
        <w:t xml:space="preserve">A student may earn a performance acknowledgment on the student's transcript by satisfying the requirements for that acknowledgment adopted by the State Board of Education by rule. An acknowledgment under this subsection may be earned: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outstanding performance: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a dual credit course;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bilingualism and biliteracy;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 a college advanced placement test or international baccalaureate examination;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 an established, valid, reliable, and nationally norm-referenced preliminary college preparation assessment instrument used to measure a student's progress toward readiness for college and the workplace;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 an established, valid, reliable, and nationally norm-referenced assessment instrument used by colleges and universities as part of their undergraduate admissions process;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earning a state recognized or nationally or internationally recognized business or industry certification or license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completing 10 projects demonstrating workforce readiness while enrolled at a campus that is a member of the New Tech Network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2021-2022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