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87R554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1305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instruction regarding project-based learning in continuing education requirements for a classroom teacher.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21.054(d), Education Code, is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at least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rPr>
          <w:u w:val="single"/>
        </w:rPr>
        <w:t xml:space="preserve">project-based learning;</w:t>
      </w:r>
    </w:p>
    <w:p w:rsidR="003F3435" w:rsidRDefault="0032493E">
      <w:pPr>
        <w:spacing w:line="480" w:lineRule="auto"/>
        <w:ind w:firstLine="1440"/>
        <w:jc w:val="both"/>
      </w:pPr>
      <w:r>
        <w:rPr>
          <w:u w:val="single"/>
        </w:rPr>
        <w:t xml:space="preserve">(5)</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who are eligible to participate in special education programs under Subchapter A, Chapter 29;</w:t>
      </w:r>
    </w:p>
    <w:p w:rsidR="003F3435" w:rsidRDefault="0032493E">
      <w:pPr>
        <w:spacing w:line="480" w:lineRule="auto"/>
        <w:ind w:firstLine="2160"/>
        <w:jc w:val="both"/>
      </w:pPr>
      <w:r>
        <w:t xml:space="preserve">(B)</w:t>
      </w:r>
      <w:r xml:space="preserve">
        <w:t> </w:t>
      </w:r>
      <w:r xml:space="preserve">
        <w:t> </w:t>
      </w:r>
      <w:r>
        <w:t xml:space="preserve">students who are eligible to receive educational services required under Section 504, Rehabilitation Act of 1973 (29 U.S.C. Section 794);</w:t>
      </w:r>
    </w:p>
    <w:p w:rsidR="003F3435" w:rsidRDefault="0032493E">
      <w:pPr>
        <w:spacing w:line="480" w:lineRule="auto"/>
        <w:ind w:firstLine="2160"/>
        <w:jc w:val="both"/>
      </w:pPr>
      <w:r>
        <w:t xml:space="preserve">(C)</w:t>
      </w:r>
      <w:r xml:space="preserve">
        <w:t> </w:t>
      </w:r>
      <w:r xml:space="preserve">
        <w:t> </w:t>
      </w:r>
      <w:r>
        <w:t xml:space="preserve">students with mental health conditions or who engage in substance abuse;</w:t>
      </w:r>
    </w:p>
    <w:p w:rsidR="003F3435" w:rsidRDefault="0032493E">
      <w:pPr>
        <w:spacing w:line="480" w:lineRule="auto"/>
        <w:ind w:firstLine="2160"/>
        <w:jc w:val="both"/>
      </w:pPr>
      <w:r>
        <w:t xml:space="preserve">(D)</w:t>
      </w:r>
      <w:r xml:space="preserve">
        <w:t> </w:t>
      </w:r>
      <w:r xml:space="preserve">
        <w:t> </w:t>
      </w:r>
      <w:r>
        <w:t xml:space="preserve">students with intellectual or developmental disabilities;</w:t>
      </w:r>
    </w:p>
    <w:p w:rsidR="003F3435" w:rsidRDefault="0032493E">
      <w:pPr>
        <w:spacing w:line="480" w:lineRule="auto"/>
        <w:ind w:firstLine="2160"/>
        <w:jc w:val="both"/>
      </w:pPr>
      <w: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t xml:space="preserve">(F)</w:t>
      </w:r>
      <w:r xml:space="preserve">
        <w:t> </w:t>
      </w:r>
      <w:r xml:space="preserve">
        <w:t> </w:t>
      </w:r>
      <w:r>
        <w:t xml:space="preserve">students of limited English proficiency; and</w:t>
      </w:r>
    </w:p>
    <w:p w:rsidR="003F3435" w:rsidRDefault="0032493E">
      <w:pPr>
        <w:spacing w:line="480" w:lineRule="auto"/>
        <w:ind w:firstLine="2160"/>
        <w:jc w:val="both"/>
      </w:pPr>
      <w:r>
        <w:t xml:space="preserve">(G)</w:t>
      </w:r>
      <w:r xml:space="preserve">
        <w:t> </w:t>
      </w:r>
      <w:r xml:space="preserve">
        <w:t> </w:t>
      </w:r>
      <w:r>
        <w:t xml:space="preserve">students at risk of dropping out of school;</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understanding appropriate relationships, boundaries, and communications between educators and students;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how mental health conditions, including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State Board for Educator Certification shall propose rules implementing Section 21.054(d), Education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classroom teacher subject to continuing education requirements immediately before the effective date of this Act is not required to comply with the continuing education requirements described by Section 21.054(d), Education Code, as amended by this Act, for any continuing education requirements period that ends before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