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87R5655 ADM-D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Hefner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1314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 requirement that all components of a voting system used in an election in this state be manufactured, stored, and held in the United States by a company headquartered in the United States.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122.032(a), Election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For a voting system or voting system equipment to be approved for use in elections, the voting system in which the equipment is designed to be used must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 xml:space="preserve">
        <w:t> </w:t>
      </w:r>
      <w:r xml:space="preserve">
        <w:t> </w:t>
      </w:r>
      <w:r>
        <w:t xml:space="preserve">comply with the standards prescribed by Subchapter A</w:t>
      </w:r>
      <w:r>
        <w:rPr>
          <w:u w:val="single"/>
        </w:rPr>
        <w:t xml:space="preserve">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beginning September 1, 2021, have all components of the voting system, including equipment, individual component pieces, and data storage manufactured, stored, and held in the United States and sold by a company whose: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headquarters are located in the United States;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parent company's headquarters, if applicable, are located in the United States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1314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