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Leach, Neave</w:t>
      </w:r>
      <w:r>
        <w:t xml:space="preserve"> </w:t>
      </w:r>
      <w:r xml:space="preserve">
        <w:tab wTab="150" tlc="none" cTlc="0"/>
      </w:r>
      <w:r>
        <w:t xml:space="preserve">H.B.</w:t>
      </w:r>
      <w:r xml:space="preserve">
        <w:t> </w:t>
      </w:r>
      <w:r>
        <w:t xml:space="preserve">No.</w:t>
      </w:r>
      <w:r xml:space="preserve">
        <w:t> </w:t>
      </w:r>
      <w:r>
        <w:t xml:space="preserve">1315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1315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duration of an appointment of a guardian ad litem or an attorney ad litem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107.016, Family Code, is amended to read as follows:</w:t>
      </w:r>
    </w:p>
    <w:p w:rsidR="003F3435" w:rsidRDefault="0032493E">
      <w:pPr>
        <w:spacing w:line="480" w:lineRule="auto"/>
        <w:ind w:firstLine="720"/>
        <w:jc w:val="both"/>
      </w:pPr>
      <w:r>
        <w:t xml:space="preserve">Sec.</w:t>
      </w:r>
      <w:r xml:space="preserve">
        <w:t> </w:t>
      </w:r>
      <w:r>
        <w:t xml:space="preserve">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order appointing the Department of Family and Protective Services as the child's managing conservator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w:t>
      </w:r>
      <w:r>
        <w:t xml:space="preserve"> [</w:t>
      </w:r>
      <w:r>
        <w:rPr>
          <w:strike/>
        </w:rPr>
        <w:t xml:space="preserve">may</w:t>
      </w:r>
      <w:r>
        <w:t xml:space="preserve">] provide for the continuation of the appointment of the </w:t>
      </w:r>
      <w:r>
        <w:rPr>
          <w:u w:val="single"/>
        </w:rPr>
        <w:t xml:space="preserve">guardian ad litem or the</w:t>
      </w:r>
      <w:r>
        <w:t xml:space="preserve"> attorney ad litem for the child</w:t>
      </w:r>
      <w:r>
        <w:rPr>
          <w:u w:val="single"/>
        </w:rPr>
        <w:t xml:space="preserve">, or an attorney appointed to serve in the dual role,</w:t>
      </w:r>
      <w:r>
        <w:t xml:space="preserve"> as long as the child remains in the conservatorship of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provide for the continuation of the appointment of both the attorney ad litem and the guardian ad litem for the child if both have been appointed, as long as the child remains in the conservatorship of the department;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suit affecting the parent-child relationship filed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