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1322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</w:t>
      </w:r>
      <w:r>
        <w:t xml:space="preserve"> </w:t>
      </w:r>
      <w:r>
        <w:t xml:space="preserve"> </w:t>
      </w:r>
      <w:r>
        <w:t xml:space="preserve"> </w:t>
      </w:r>
      <w:r>
        <w:t xml:space="preserve">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1322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summary of a rule proposed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2001.023,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state agency files notice of a proposed rule under Subsection (b), the agency shall publish on the agency's Internet website a summary of the proposed rule written in plain language in both English and Spanish in accordance with Section 2054.116.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(c), a summary is written in plain language if it uses language the general public, including individuals with limited English proficiency, can readily understand because the language is concise and well-organized.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proposed state agency rule for which notice is filed with the secretary of state under Section 2001.023,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